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39B13" w14:textId="00B30749" w:rsidR="00470AB5" w:rsidRDefault="00470AB5">
      <w:pPr>
        <w:spacing w:after="0" w:line="240" w:lineRule="auto"/>
        <w:rPr>
          <w:rFonts w:ascii="Calibri" w:hAnsi="Calibri"/>
          <w:b/>
          <w:bCs/>
          <w:color w:val="FF6E32"/>
          <w:sz w:val="48"/>
          <w:szCs w:val="48"/>
          <w:lang w:val="en-GB"/>
        </w:rPr>
      </w:pPr>
      <w:r>
        <w:rPr>
          <w:b/>
          <w:bCs/>
          <w:noProof/>
          <w:color w:val="FF6E32"/>
        </w:rPr>
        <w:drawing>
          <wp:anchor distT="0" distB="0" distL="114300" distR="114300" simplePos="0" relativeHeight="251658240" behindDoc="0" locked="0" layoutInCell="1" allowOverlap="1" wp14:anchorId="6F2B36C9" wp14:editId="6F02EB13">
            <wp:simplePos x="0" y="0"/>
            <wp:positionH relativeFrom="column">
              <wp:posOffset>-241300</wp:posOffset>
            </wp:positionH>
            <wp:positionV relativeFrom="page">
              <wp:posOffset>1041400</wp:posOffset>
            </wp:positionV>
            <wp:extent cx="6149340" cy="8686800"/>
            <wp:effectExtent l="0" t="0" r="0" b="0"/>
            <wp:wrapSquare wrapText="bothSides"/>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49340" cy="8686800"/>
                    </a:xfrm>
                    <a:prstGeom prst="rect">
                      <a:avLst/>
                    </a:prstGeom>
                  </pic:spPr>
                </pic:pic>
              </a:graphicData>
            </a:graphic>
            <wp14:sizeRelH relativeFrom="page">
              <wp14:pctWidth>0</wp14:pctWidth>
            </wp14:sizeRelH>
            <wp14:sizeRelV relativeFrom="page">
              <wp14:pctHeight>0</wp14:pctHeight>
            </wp14:sizeRelV>
          </wp:anchor>
        </w:drawing>
      </w:r>
      <w:r>
        <w:rPr>
          <w:b/>
          <w:bCs/>
          <w:color w:val="FF6E32"/>
        </w:rPr>
        <w:br w:type="page"/>
      </w:r>
    </w:p>
    <w:p w14:paraId="1021C60A" w14:textId="77777777" w:rsidR="00470AB5" w:rsidRDefault="00470AB5" w:rsidP="00470AB5">
      <w:pPr>
        <w:pStyle w:val="Heading1"/>
        <w:widowControl w:val="0"/>
        <w:spacing w:line="238" w:lineRule="auto"/>
      </w:pPr>
      <w:bookmarkStart w:id="0" w:name="_3djn8zeut6m6" w:colFirst="0" w:colLast="0"/>
      <w:bookmarkEnd w:id="0"/>
      <w:r>
        <w:lastRenderedPageBreak/>
        <w:t>Course Outline - NCEA Level One Modules</w:t>
      </w:r>
    </w:p>
    <w:p w14:paraId="7AB7242D" w14:textId="77777777" w:rsidR="00470AB5" w:rsidRDefault="00470AB5" w:rsidP="00470AB5">
      <w:pPr>
        <w:pStyle w:val="Body"/>
      </w:pPr>
    </w:p>
    <w:p w14:paraId="5EF3DB8A" w14:textId="77777777" w:rsidR="00470AB5" w:rsidRDefault="00470AB5" w:rsidP="00470AB5">
      <w:pPr>
        <w:pStyle w:val="Body"/>
      </w:pPr>
      <w:r>
        <w:t>There is currently one Sorted in Schools NCEA Level One Achievement Standard module and four NCEA Level One Unit Standard modules:</w:t>
      </w:r>
    </w:p>
    <w:tbl>
      <w:tblPr>
        <w:tblStyle w:val="TableGrid"/>
        <w:tblW w:w="8821" w:type="dxa"/>
        <w:tblBorders>
          <w:top w:val="none" w:sz="0" w:space="0" w:color="auto"/>
          <w:left w:val="none" w:sz="0" w:space="0" w:color="auto"/>
          <w:bottom w:val="none" w:sz="0" w:space="0" w:color="auto"/>
          <w:right w:val="none" w:sz="0" w:space="0" w:color="auto"/>
        </w:tblBorders>
        <w:tblLayout w:type="fixed"/>
        <w:tblCellMar>
          <w:top w:w="284" w:type="dxa"/>
        </w:tblCellMar>
        <w:tblLook w:val="04A0" w:firstRow="1" w:lastRow="0" w:firstColumn="1" w:lastColumn="0" w:noHBand="0" w:noVBand="1"/>
      </w:tblPr>
      <w:tblGrid>
        <w:gridCol w:w="1867"/>
        <w:gridCol w:w="1677"/>
        <w:gridCol w:w="1843"/>
        <w:gridCol w:w="1984"/>
        <w:gridCol w:w="1450"/>
      </w:tblGrid>
      <w:tr w:rsidR="00470AB5" w14:paraId="04BA7AD7" w14:textId="77777777" w:rsidTr="00470AB5">
        <w:trPr>
          <w:trHeight w:val="350"/>
        </w:trPr>
        <w:tc>
          <w:tcPr>
            <w:tcW w:w="1867" w:type="dxa"/>
            <w:tcBorders>
              <w:top w:val="single" w:sz="8" w:space="0" w:color="FF6E32"/>
              <w:left w:val="single" w:sz="8" w:space="0" w:color="FF6E32"/>
              <w:bottom w:val="single" w:sz="4" w:space="0" w:color="FF6E32"/>
              <w:right w:val="single" w:sz="8" w:space="0" w:color="FFFFFF" w:themeColor="background1"/>
            </w:tcBorders>
            <w:shd w:val="clear" w:color="auto" w:fill="FF6E32"/>
          </w:tcPr>
          <w:p w14:paraId="3CD84A9A" w14:textId="1612D079" w:rsidR="00470AB5" w:rsidRPr="00470AB5" w:rsidRDefault="00470AB5" w:rsidP="00470AB5">
            <w:pPr>
              <w:pStyle w:val="Body"/>
              <w:rPr>
                <w:color w:val="FFFFFF" w:themeColor="background1"/>
              </w:rPr>
            </w:pPr>
            <w:r w:rsidRPr="00470AB5">
              <w:rPr>
                <w:rFonts w:eastAsia="Calibri" w:cs="Calibri"/>
                <w:b/>
                <w:color w:val="FFFFFF" w:themeColor="background1"/>
              </w:rPr>
              <w:t>Module name</w:t>
            </w:r>
          </w:p>
        </w:tc>
        <w:tc>
          <w:tcPr>
            <w:tcW w:w="1677" w:type="dxa"/>
            <w:tcBorders>
              <w:top w:val="single" w:sz="8" w:space="0" w:color="FF6E32"/>
              <w:left w:val="single" w:sz="8" w:space="0" w:color="FFFFFF" w:themeColor="background1"/>
              <w:bottom w:val="single" w:sz="4" w:space="0" w:color="FF6E32"/>
              <w:right w:val="single" w:sz="8" w:space="0" w:color="FFFFFF" w:themeColor="background1"/>
            </w:tcBorders>
            <w:shd w:val="clear" w:color="auto" w:fill="FF6E32"/>
          </w:tcPr>
          <w:p w14:paraId="49713B4F" w14:textId="4CC25FCD" w:rsidR="00470AB5" w:rsidRPr="00470AB5" w:rsidRDefault="00470AB5" w:rsidP="00470AB5">
            <w:pPr>
              <w:pStyle w:val="Body"/>
              <w:rPr>
                <w:color w:val="FFFFFF" w:themeColor="background1"/>
              </w:rPr>
            </w:pPr>
            <w:r w:rsidRPr="00470AB5">
              <w:rPr>
                <w:rFonts w:eastAsia="Calibri" w:cs="Calibri"/>
                <w:b/>
                <w:color w:val="FFFFFF" w:themeColor="background1"/>
              </w:rPr>
              <w:t>Achievement standard</w:t>
            </w:r>
          </w:p>
        </w:tc>
        <w:tc>
          <w:tcPr>
            <w:tcW w:w="1843" w:type="dxa"/>
            <w:tcBorders>
              <w:top w:val="single" w:sz="8" w:space="0" w:color="FF6E32"/>
              <w:left w:val="single" w:sz="8" w:space="0" w:color="FFFFFF" w:themeColor="background1"/>
              <w:bottom w:val="single" w:sz="4" w:space="0" w:color="FF6E32"/>
              <w:right w:val="single" w:sz="8" w:space="0" w:color="FFFFFF" w:themeColor="background1"/>
            </w:tcBorders>
            <w:shd w:val="clear" w:color="auto" w:fill="FF6E32"/>
          </w:tcPr>
          <w:p w14:paraId="267B5392" w14:textId="57E21E87" w:rsidR="00470AB5" w:rsidRPr="00470AB5" w:rsidRDefault="00470AB5" w:rsidP="00470AB5">
            <w:pPr>
              <w:pStyle w:val="Body"/>
              <w:rPr>
                <w:color w:val="FFFFFF" w:themeColor="background1"/>
              </w:rPr>
            </w:pPr>
            <w:r w:rsidRPr="00470AB5">
              <w:rPr>
                <w:rFonts w:eastAsia="Calibri" w:cs="Calibri"/>
                <w:b/>
                <w:color w:val="FFFFFF" w:themeColor="background1"/>
              </w:rPr>
              <w:t>Sorted Themes</w:t>
            </w:r>
          </w:p>
        </w:tc>
        <w:tc>
          <w:tcPr>
            <w:tcW w:w="1984" w:type="dxa"/>
            <w:tcBorders>
              <w:top w:val="single" w:sz="8" w:space="0" w:color="FF6E32"/>
              <w:left w:val="single" w:sz="8" w:space="0" w:color="FFFFFF" w:themeColor="background1"/>
              <w:bottom w:val="single" w:sz="4" w:space="0" w:color="FF6E32"/>
              <w:right w:val="single" w:sz="8" w:space="0" w:color="FFFFFF" w:themeColor="background1"/>
            </w:tcBorders>
            <w:shd w:val="clear" w:color="auto" w:fill="FF6E32"/>
          </w:tcPr>
          <w:p w14:paraId="50B2B9C1" w14:textId="18B9FFD4" w:rsidR="00470AB5" w:rsidRPr="00470AB5" w:rsidRDefault="00470AB5" w:rsidP="00470AB5">
            <w:pPr>
              <w:pStyle w:val="Body"/>
              <w:rPr>
                <w:color w:val="FFFFFF" w:themeColor="background1"/>
              </w:rPr>
            </w:pPr>
            <w:r w:rsidRPr="00470AB5">
              <w:rPr>
                <w:rFonts w:eastAsia="Calibri" w:cs="Calibri"/>
                <w:b/>
                <w:color w:val="FFFFFF" w:themeColor="background1"/>
              </w:rPr>
              <w:t>Key learning contexts</w:t>
            </w:r>
          </w:p>
        </w:tc>
        <w:tc>
          <w:tcPr>
            <w:tcW w:w="1450" w:type="dxa"/>
            <w:tcBorders>
              <w:top w:val="single" w:sz="8" w:space="0" w:color="FF6E32"/>
              <w:left w:val="single" w:sz="8" w:space="0" w:color="FFFFFF" w:themeColor="background1"/>
              <w:bottom w:val="single" w:sz="4" w:space="0" w:color="FF6E32"/>
              <w:right w:val="single" w:sz="8" w:space="0" w:color="FF6E32"/>
            </w:tcBorders>
            <w:shd w:val="clear" w:color="auto" w:fill="FF6E32"/>
          </w:tcPr>
          <w:p w14:paraId="738D09B6" w14:textId="3298393D" w:rsidR="00470AB5" w:rsidRPr="00470AB5" w:rsidRDefault="00470AB5" w:rsidP="00470AB5">
            <w:pPr>
              <w:pStyle w:val="Body"/>
              <w:rPr>
                <w:color w:val="FFFFFF" w:themeColor="background1"/>
              </w:rPr>
            </w:pPr>
            <w:r w:rsidRPr="00470AB5">
              <w:rPr>
                <w:rFonts w:eastAsia="Calibri" w:cs="Calibri"/>
                <w:b/>
                <w:color w:val="FFFFFF" w:themeColor="background1"/>
              </w:rPr>
              <w:t>Suggested contact teaching time</w:t>
            </w:r>
          </w:p>
        </w:tc>
      </w:tr>
      <w:tr w:rsidR="00470AB5" w14:paraId="1F01512C" w14:textId="77777777" w:rsidTr="00470AB5">
        <w:trPr>
          <w:trHeight w:val="335"/>
        </w:trPr>
        <w:tc>
          <w:tcPr>
            <w:tcW w:w="1867" w:type="dxa"/>
            <w:tcBorders>
              <w:top w:val="single" w:sz="4" w:space="0" w:color="FF6E32"/>
              <w:left w:val="single" w:sz="8" w:space="0" w:color="FF6E32"/>
              <w:bottom w:val="single" w:sz="8" w:space="0" w:color="FF6E32"/>
              <w:right w:val="single" w:sz="8" w:space="0" w:color="FF6E32"/>
            </w:tcBorders>
            <w:shd w:val="clear" w:color="auto" w:fill="auto"/>
          </w:tcPr>
          <w:p w14:paraId="010736FE" w14:textId="2700D775" w:rsidR="00470AB5" w:rsidRPr="00DD61B9" w:rsidRDefault="00470AB5" w:rsidP="00470AB5">
            <w:pPr>
              <w:pStyle w:val="Body"/>
            </w:pPr>
            <w:r>
              <w:rPr>
                <w:rFonts w:eastAsia="Calibri" w:cs="Calibri"/>
                <w:b/>
              </w:rPr>
              <w:t>Money Matters</w:t>
            </w:r>
          </w:p>
        </w:tc>
        <w:tc>
          <w:tcPr>
            <w:tcW w:w="1677" w:type="dxa"/>
            <w:tcBorders>
              <w:top w:val="single" w:sz="4" w:space="0" w:color="FF6E32"/>
              <w:left w:val="single" w:sz="8" w:space="0" w:color="FF6E32"/>
              <w:bottom w:val="single" w:sz="8" w:space="0" w:color="FF6E32"/>
              <w:right w:val="single" w:sz="8" w:space="0" w:color="FF6E32"/>
            </w:tcBorders>
            <w:shd w:val="clear" w:color="auto" w:fill="auto"/>
          </w:tcPr>
          <w:p w14:paraId="47A04DE0" w14:textId="77777777" w:rsidR="00470AB5" w:rsidRDefault="00470AB5" w:rsidP="00470AB5">
            <w:pPr>
              <w:pStyle w:val="Body"/>
              <w:rPr>
                <w:rFonts w:eastAsia="Calibri" w:cs="Calibri"/>
              </w:rPr>
            </w:pPr>
            <w:hyperlink r:id="rId11">
              <w:r>
                <w:rPr>
                  <w:rFonts w:eastAsia="Calibri" w:cs="Calibri"/>
                  <w:color w:val="1155CC"/>
                  <w:u w:val="single"/>
                </w:rPr>
                <w:t>AS</w:t>
              </w:r>
              <w:r>
                <w:rPr>
                  <w:rFonts w:eastAsia="Calibri" w:cs="Calibri"/>
                  <w:color w:val="1155CC"/>
                  <w:u w:val="single"/>
                </w:rPr>
                <w:t>9</w:t>
              </w:r>
              <w:r>
                <w:rPr>
                  <w:rFonts w:eastAsia="Calibri" w:cs="Calibri"/>
                  <w:color w:val="1155CC"/>
                  <w:u w:val="single"/>
                </w:rPr>
                <w:t>1026 Apply numeric reasoning to solving problems</w:t>
              </w:r>
            </w:hyperlink>
          </w:p>
          <w:p w14:paraId="67E01E13" w14:textId="6BD87080" w:rsidR="00470AB5" w:rsidRPr="00DD61B9" w:rsidRDefault="00470AB5" w:rsidP="00470AB5">
            <w:pPr>
              <w:pStyle w:val="Body"/>
            </w:pPr>
            <w:r>
              <w:rPr>
                <w:rFonts w:eastAsia="Calibri" w:cs="Calibri"/>
              </w:rPr>
              <w:t>4 credits</w:t>
            </w:r>
          </w:p>
        </w:tc>
        <w:tc>
          <w:tcPr>
            <w:tcW w:w="1843" w:type="dxa"/>
            <w:tcBorders>
              <w:top w:val="single" w:sz="4" w:space="0" w:color="FF6E32"/>
              <w:left w:val="single" w:sz="8" w:space="0" w:color="FF6E32"/>
              <w:bottom w:val="single" w:sz="8" w:space="0" w:color="FF6E32"/>
              <w:right w:val="single" w:sz="8" w:space="0" w:color="FF6E32"/>
            </w:tcBorders>
            <w:shd w:val="clear" w:color="auto" w:fill="auto"/>
          </w:tcPr>
          <w:p w14:paraId="6960CE71" w14:textId="77777777" w:rsidR="00470AB5" w:rsidRDefault="00470AB5" w:rsidP="00470AB5">
            <w:pPr>
              <w:pStyle w:val="Body"/>
            </w:pPr>
            <w:r>
              <w:t>KiwiSaver</w:t>
            </w:r>
          </w:p>
          <w:p w14:paraId="41DCAD47" w14:textId="77777777" w:rsidR="00470AB5" w:rsidRDefault="00470AB5" w:rsidP="00470AB5">
            <w:pPr>
              <w:pStyle w:val="Body"/>
            </w:pPr>
            <w:r>
              <w:t>Debt</w:t>
            </w:r>
          </w:p>
          <w:p w14:paraId="49F049AB" w14:textId="77777777" w:rsidR="00470AB5" w:rsidRDefault="00470AB5" w:rsidP="00470AB5">
            <w:pPr>
              <w:pStyle w:val="Body"/>
            </w:pPr>
            <w:r>
              <w:t>Goals</w:t>
            </w:r>
          </w:p>
          <w:p w14:paraId="4905A5A6" w14:textId="22470CE6" w:rsidR="00470AB5" w:rsidRPr="00DD61B9" w:rsidRDefault="00470AB5" w:rsidP="00470AB5">
            <w:pPr>
              <w:pStyle w:val="Body"/>
            </w:pPr>
            <w:r>
              <w:t>Managing my Money</w:t>
            </w:r>
          </w:p>
        </w:tc>
        <w:tc>
          <w:tcPr>
            <w:tcW w:w="1984" w:type="dxa"/>
            <w:tcBorders>
              <w:top w:val="single" w:sz="4" w:space="0" w:color="FF6E32"/>
              <w:left w:val="single" w:sz="8" w:space="0" w:color="FF6E32"/>
              <w:bottom w:val="single" w:sz="8" w:space="0" w:color="FF6E32"/>
              <w:right w:val="single" w:sz="8" w:space="0" w:color="FF6E32"/>
            </w:tcBorders>
            <w:shd w:val="clear" w:color="auto" w:fill="auto"/>
          </w:tcPr>
          <w:p w14:paraId="0CD55A2F" w14:textId="1AC69CFD" w:rsidR="00470AB5" w:rsidRPr="00DD61B9" w:rsidRDefault="00470AB5" w:rsidP="00470AB5">
            <w:pPr>
              <w:pStyle w:val="Body"/>
            </w:pPr>
            <w:r>
              <w:t>Starting work</w:t>
            </w:r>
          </w:p>
        </w:tc>
        <w:tc>
          <w:tcPr>
            <w:tcW w:w="1450" w:type="dxa"/>
            <w:tcBorders>
              <w:top w:val="single" w:sz="4" w:space="0" w:color="FF6E32"/>
              <w:left w:val="single" w:sz="8" w:space="0" w:color="FF6E32"/>
              <w:bottom w:val="single" w:sz="8" w:space="0" w:color="FF6E32"/>
              <w:right w:val="single" w:sz="8" w:space="0" w:color="FF6E32"/>
            </w:tcBorders>
            <w:shd w:val="clear" w:color="auto" w:fill="auto"/>
          </w:tcPr>
          <w:p w14:paraId="6FF1817B" w14:textId="508149AF" w:rsidR="00470AB5" w:rsidRPr="00DD61B9" w:rsidRDefault="00470AB5" w:rsidP="00470AB5">
            <w:pPr>
              <w:pStyle w:val="Body"/>
            </w:pPr>
            <w:r>
              <w:t>30 hrs</w:t>
            </w:r>
          </w:p>
        </w:tc>
      </w:tr>
      <w:tr w:rsidR="00470AB5" w14:paraId="40BD0FA3" w14:textId="77777777" w:rsidTr="00470AB5">
        <w:trPr>
          <w:trHeight w:val="10"/>
        </w:trPr>
        <w:tc>
          <w:tcPr>
            <w:tcW w:w="1867" w:type="dxa"/>
            <w:tcBorders>
              <w:top w:val="single" w:sz="8" w:space="0" w:color="FF6E32"/>
            </w:tcBorders>
            <w:shd w:val="clear" w:color="auto" w:fill="F7F7F7"/>
          </w:tcPr>
          <w:p w14:paraId="1093BC0F" w14:textId="29B668AB" w:rsidR="00470AB5" w:rsidRPr="00DD61B9" w:rsidRDefault="00470AB5" w:rsidP="00470AB5">
            <w:pPr>
              <w:pStyle w:val="Body"/>
            </w:pPr>
            <w:r>
              <w:rPr>
                <w:rFonts w:eastAsia="Calibri" w:cs="Calibri"/>
                <w:b/>
              </w:rPr>
              <w:t>Credit and Debt</w:t>
            </w:r>
          </w:p>
        </w:tc>
        <w:tc>
          <w:tcPr>
            <w:tcW w:w="1677" w:type="dxa"/>
            <w:tcBorders>
              <w:top w:val="single" w:sz="8" w:space="0" w:color="FF6E32"/>
            </w:tcBorders>
            <w:shd w:val="clear" w:color="auto" w:fill="F7F7F7"/>
          </w:tcPr>
          <w:p w14:paraId="3C38AB99" w14:textId="77777777" w:rsidR="00470AB5" w:rsidRDefault="00470AB5" w:rsidP="00470AB5">
            <w:pPr>
              <w:pStyle w:val="Body"/>
              <w:rPr>
                <w:rFonts w:eastAsia="Calibri" w:cs="Calibri"/>
              </w:rPr>
            </w:pPr>
            <w:hyperlink r:id="rId12">
              <w:r>
                <w:rPr>
                  <w:rFonts w:eastAsia="Calibri" w:cs="Calibri"/>
                  <w:color w:val="1155CC"/>
                  <w:u w:val="single"/>
                </w:rPr>
                <w:t>US28088 Demonstrate understanding of credit and debt on personal finances</w:t>
              </w:r>
            </w:hyperlink>
          </w:p>
          <w:p w14:paraId="2E29A2E2" w14:textId="651BE838" w:rsidR="00470AB5" w:rsidRPr="00DD61B9" w:rsidRDefault="00470AB5" w:rsidP="00470AB5">
            <w:pPr>
              <w:pStyle w:val="Body"/>
            </w:pPr>
            <w:r>
              <w:rPr>
                <w:rFonts w:eastAsia="Calibri" w:cs="Calibri"/>
              </w:rPr>
              <w:t>3 credits</w:t>
            </w:r>
          </w:p>
        </w:tc>
        <w:tc>
          <w:tcPr>
            <w:tcW w:w="1843" w:type="dxa"/>
            <w:tcBorders>
              <w:top w:val="single" w:sz="8" w:space="0" w:color="FF6E32"/>
            </w:tcBorders>
            <w:shd w:val="clear" w:color="auto" w:fill="F7F7F7"/>
          </w:tcPr>
          <w:p w14:paraId="2F9C39D8" w14:textId="7AA88BCD" w:rsidR="00470AB5" w:rsidRPr="00DD61B9" w:rsidRDefault="00470AB5" w:rsidP="00470AB5">
            <w:pPr>
              <w:pStyle w:val="Body"/>
            </w:pPr>
            <w:r>
              <w:t>Debt</w:t>
            </w:r>
          </w:p>
        </w:tc>
        <w:tc>
          <w:tcPr>
            <w:tcW w:w="1984" w:type="dxa"/>
            <w:tcBorders>
              <w:top w:val="single" w:sz="8" w:space="0" w:color="FF6E32"/>
            </w:tcBorders>
            <w:shd w:val="clear" w:color="auto" w:fill="F7F7F7"/>
          </w:tcPr>
          <w:p w14:paraId="0EA25256" w14:textId="2F08210C" w:rsidR="00470AB5" w:rsidRPr="00DD61B9" w:rsidRDefault="00470AB5" w:rsidP="00470AB5">
            <w:pPr>
              <w:pStyle w:val="Body"/>
            </w:pPr>
            <w:r>
              <w:t>How debt can impact on personal finances, along with factors that contribute to debt being manageable or unmanageable</w:t>
            </w:r>
          </w:p>
        </w:tc>
        <w:tc>
          <w:tcPr>
            <w:tcW w:w="1450" w:type="dxa"/>
            <w:tcBorders>
              <w:top w:val="single" w:sz="8" w:space="0" w:color="FF6E32"/>
            </w:tcBorders>
            <w:shd w:val="clear" w:color="auto" w:fill="F7F7F7"/>
          </w:tcPr>
          <w:p w14:paraId="043D5A47" w14:textId="65E8A0A6" w:rsidR="00470AB5" w:rsidRPr="00DD61B9" w:rsidRDefault="00470AB5" w:rsidP="00470AB5">
            <w:pPr>
              <w:pStyle w:val="Body"/>
            </w:pPr>
            <w:r>
              <w:t>25 hrs</w:t>
            </w:r>
          </w:p>
        </w:tc>
      </w:tr>
      <w:tr w:rsidR="00470AB5" w14:paraId="18F3B473" w14:textId="77777777" w:rsidTr="00470AB5">
        <w:trPr>
          <w:trHeight w:val="10"/>
        </w:trPr>
        <w:tc>
          <w:tcPr>
            <w:tcW w:w="1867" w:type="dxa"/>
            <w:shd w:val="clear" w:color="auto" w:fill="F7F7F7"/>
          </w:tcPr>
          <w:p w14:paraId="04D5A389" w14:textId="2867F199" w:rsidR="00470AB5" w:rsidRPr="00DD61B9" w:rsidRDefault="00470AB5" w:rsidP="00470AB5">
            <w:pPr>
              <w:pStyle w:val="Body"/>
            </w:pPr>
            <w:r>
              <w:rPr>
                <w:rFonts w:eastAsia="Calibri" w:cs="Calibri"/>
                <w:b/>
              </w:rPr>
              <w:t>Goal Getters</w:t>
            </w:r>
          </w:p>
        </w:tc>
        <w:tc>
          <w:tcPr>
            <w:tcW w:w="1677" w:type="dxa"/>
            <w:shd w:val="clear" w:color="auto" w:fill="F7F7F7"/>
          </w:tcPr>
          <w:p w14:paraId="36AC46A3" w14:textId="77777777" w:rsidR="00470AB5" w:rsidRDefault="00470AB5" w:rsidP="00470AB5">
            <w:pPr>
              <w:pStyle w:val="Body"/>
              <w:rPr>
                <w:rFonts w:eastAsia="Calibri" w:cs="Calibri"/>
              </w:rPr>
            </w:pPr>
            <w:hyperlink r:id="rId13">
              <w:r>
                <w:rPr>
                  <w:rFonts w:eastAsia="Calibri" w:cs="Calibri"/>
                  <w:color w:val="1155CC"/>
                  <w:u w:val="single"/>
                </w:rPr>
                <w:t>US28089 Demonstrate understanding of personal financial goal setting</w:t>
              </w:r>
            </w:hyperlink>
          </w:p>
          <w:p w14:paraId="12EF734C" w14:textId="0A1E9CB5" w:rsidR="00470AB5" w:rsidRPr="00DD61B9" w:rsidRDefault="00470AB5" w:rsidP="00470AB5">
            <w:pPr>
              <w:pStyle w:val="Body"/>
            </w:pPr>
            <w:r>
              <w:rPr>
                <w:rFonts w:eastAsia="Calibri" w:cs="Calibri"/>
              </w:rPr>
              <w:t>3 credits</w:t>
            </w:r>
          </w:p>
        </w:tc>
        <w:tc>
          <w:tcPr>
            <w:tcW w:w="1843" w:type="dxa"/>
            <w:shd w:val="clear" w:color="auto" w:fill="F7F7F7"/>
          </w:tcPr>
          <w:p w14:paraId="536E75CA" w14:textId="77777777" w:rsidR="00470AB5" w:rsidRDefault="00470AB5" w:rsidP="00470AB5">
            <w:pPr>
              <w:pStyle w:val="Body"/>
            </w:pPr>
            <w:r>
              <w:t>Goals</w:t>
            </w:r>
          </w:p>
          <w:p w14:paraId="4FA99C66" w14:textId="77777777" w:rsidR="00470AB5" w:rsidRDefault="00470AB5" w:rsidP="00470AB5">
            <w:pPr>
              <w:pStyle w:val="Body"/>
            </w:pPr>
            <w:r>
              <w:t>Savings</w:t>
            </w:r>
          </w:p>
          <w:p w14:paraId="0726EAC0" w14:textId="38E1E2FA" w:rsidR="00470AB5" w:rsidRPr="00DD61B9" w:rsidRDefault="00470AB5" w:rsidP="00470AB5">
            <w:pPr>
              <w:pStyle w:val="Body"/>
            </w:pPr>
            <w:r>
              <w:t>Managing my Money</w:t>
            </w:r>
          </w:p>
        </w:tc>
        <w:tc>
          <w:tcPr>
            <w:tcW w:w="1984" w:type="dxa"/>
            <w:shd w:val="clear" w:color="auto" w:fill="F7F7F7"/>
          </w:tcPr>
          <w:p w14:paraId="7B088DCE" w14:textId="4CCD5634" w:rsidR="00470AB5" w:rsidRPr="00DD61B9" w:rsidRDefault="00470AB5" w:rsidP="00470AB5">
            <w:pPr>
              <w:pStyle w:val="Body"/>
            </w:pPr>
            <w:r>
              <w:t>Personal financial goal setting, including ways to monitor and maintain progress towards a goal</w:t>
            </w:r>
          </w:p>
        </w:tc>
        <w:tc>
          <w:tcPr>
            <w:tcW w:w="1450" w:type="dxa"/>
            <w:shd w:val="clear" w:color="auto" w:fill="F7F7F7"/>
          </w:tcPr>
          <w:p w14:paraId="123511AC" w14:textId="7C70EA5E" w:rsidR="00470AB5" w:rsidRPr="00DD61B9" w:rsidRDefault="00470AB5" w:rsidP="00470AB5">
            <w:pPr>
              <w:pStyle w:val="Body"/>
            </w:pPr>
            <w:r>
              <w:t>25 hrs</w:t>
            </w:r>
          </w:p>
        </w:tc>
      </w:tr>
      <w:tr w:rsidR="00470AB5" w14:paraId="5C7D0403" w14:textId="77777777" w:rsidTr="00470AB5">
        <w:trPr>
          <w:trHeight w:val="10"/>
        </w:trPr>
        <w:tc>
          <w:tcPr>
            <w:tcW w:w="1867" w:type="dxa"/>
            <w:shd w:val="clear" w:color="auto" w:fill="F7F7F7"/>
          </w:tcPr>
          <w:p w14:paraId="63AB5212" w14:textId="12DC246B" w:rsidR="00470AB5" w:rsidRPr="00DD61B9" w:rsidRDefault="00470AB5" w:rsidP="00470AB5">
            <w:pPr>
              <w:pStyle w:val="Body"/>
            </w:pPr>
            <w:r>
              <w:rPr>
                <w:rFonts w:eastAsia="Calibri" w:cs="Calibri"/>
                <w:b/>
              </w:rPr>
              <w:t xml:space="preserve">Future Focus </w:t>
            </w:r>
          </w:p>
        </w:tc>
        <w:tc>
          <w:tcPr>
            <w:tcW w:w="1677" w:type="dxa"/>
            <w:shd w:val="clear" w:color="auto" w:fill="F7F7F7"/>
          </w:tcPr>
          <w:p w14:paraId="226DD18C" w14:textId="77777777" w:rsidR="00470AB5" w:rsidRDefault="00470AB5" w:rsidP="00470AB5">
            <w:pPr>
              <w:pStyle w:val="Body"/>
              <w:rPr>
                <w:rFonts w:eastAsia="Calibri" w:cs="Calibri"/>
              </w:rPr>
            </w:pPr>
            <w:hyperlink r:id="rId14">
              <w:r>
                <w:rPr>
                  <w:rFonts w:eastAsia="Calibri" w:cs="Calibri"/>
                  <w:color w:val="1155CC"/>
                  <w:u w:val="single"/>
                </w:rPr>
                <w:t>US28090 Demonstrate knowledge of personal saving and investment options for given scenario(s)</w:t>
              </w:r>
            </w:hyperlink>
          </w:p>
          <w:p w14:paraId="3E785FBF" w14:textId="6A0CB5EF" w:rsidR="00470AB5" w:rsidRPr="00DD61B9" w:rsidRDefault="00470AB5" w:rsidP="00470AB5">
            <w:pPr>
              <w:pStyle w:val="Body"/>
            </w:pPr>
            <w:r>
              <w:rPr>
                <w:rFonts w:eastAsia="Calibri" w:cs="Calibri"/>
              </w:rPr>
              <w:lastRenderedPageBreak/>
              <w:t>4 credits</w:t>
            </w:r>
          </w:p>
        </w:tc>
        <w:tc>
          <w:tcPr>
            <w:tcW w:w="1843" w:type="dxa"/>
            <w:shd w:val="clear" w:color="auto" w:fill="F7F7F7"/>
          </w:tcPr>
          <w:p w14:paraId="04AC7602" w14:textId="77777777" w:rsidR="00470AB5" w:rsidRDefault="00470AB5" w:rsidP="00470AB5">
            <w:pPr>
              <w:pStyle w:val="Body"/>
            </w:pPr>
            <w:r>
              <w:lastRenderedPageBreak/>
              <w:t>Savings Investment</w:t>
            </w:r>
          </w:p>
          <w:p w14:paraId="2AFDE8BF" w14:textId="6737D895" w:rsidR="00470AB5" w:rsidRPr="00DD61B9" w:rsidRDefault="00470AB5" w:rsidP="00470AB5">
            <w:pPr>
              <w:pStyle w:val="Body"/>
            </w:pPr>
            <w:r>
              <w:t>KiwiSaver</w:t>
            </w:r>
          </w:p>
        </w:tc>
        <w:tc>
          <w:tcPr>
            <w:tcW w:w="1984" w:type="dxa"/>
            <w:shd w:val="clear" w:color="auto" w:fill="F7F7F7"/>
          </w:tcPr>
          <w:p w14:paraId="69D6B05D" w14:textId="647CAC43" w:rsidR="00470AB5" w:rsidRPr="00DD61B9" w:rsidRDefault="00470AB5" w:rsidP="00470AB5">
            <w:pPr>
              <w:pStyle w:val="Body"/>
            </w:pPr>
            <w:r>
              <w:t>Explores saving and investment options, including which options are the best match for a given situation</w:t>
            </w:r>
          </w:p>
        </w:tc>
        <w:tc>
          <w:tcPr>
            <w:tcW w:w="1450" w:type="dxa"/>
            <w:shd w:val="clear" w:color="auto" w:fill="F7F7F7"/>
          </w:tcPr>
          <w:p w14:paraId="6C38DCD7" w14:textId="1DE961E8" w:rsidR="00470AB5" w:rsidRPr="00DD61B9" w:rsidRDefault="00470AB5" w:rsidP="00470AB5">
            <w:pPr>
              <w:pStyle w:val="Body"/>
            </w:pPr>
            <w:r>
              <w:t>30 hrs</w:t>
            </w:r>
          </w:p>
        </w:tc>
      </w:tr>
      <w:tr w:rsidR="00470AB5" w14:paraId="7229A53A" w14:textId="77777777" w:rsidTr="00470AB5">
        <w:trPr>
          <w:trHeight w:val="10"/>
        </w:trPr>
        <w:tc>
          <w:tcPr>
            <w:tcW w:w="1867" w:type="dxa"/>
            <w:shd w:val="clear" w:color="auto" w:fill="F7F7F7"/>
          </w:tcPr>
          <w:p w14:paraId="7AA74176" w14:textId="1D5DB369" w:rsidR="00470AB5" w:rsidRPr="00DD61B9" w:rsidRDefault="00470AB5" w:rsidP="00470AB5">
            <w:pPr>
              <w:pStyle w:val="Body"/>
            </w:pPr>
            <w:r>
              <w:rPr>
                <w:rFonts w:eastAsia="Calibri" w:cs="Calibri"/>
                <w:b/>
              </w:rPr>
              <w:t>Ages and Stages</w:t>
            </w:r>
          </w:p>
        </w:tc>
        <w:tc>
          <w:tcPr>
            <w:tcW w:w="1677" w:type="dxa"/>
            <w:shd w:val="clear" w:color="auto" w:fill="F7F7F7"/>
          </w:tcPr>
          <w:p w14:paraId="2EB88A7A" w14:textId="77777777" w:rsidR="00470AB5" w:rsidRDefault="00470AB5" w:rsidP="00470AB5">
            <w:pPr>
              <w:pStyle w:val="Body"/>
              <w:rPr>
                <w:rFonts w:eastAsia="Calibri" w:cs="Calibri"/>
              </w:rPr>
            </w:pPr>
            <w:hyperlink r:id="rId15">
              <w:r>
                <w:rPr>
                  <w:rFonts w:eastAsia="Calibri" w:cs="Calibri"/>
                  <w:color w:val="1155CC"/>
                  <w:u w:val="single"/>
                </w:rPr>
                <w:t>US28087 Demonstrate understanding of the effect of life stages on personal income</w:t>
              </w:r>
            </w:hyperlink>
          </w:p>
          <w:p w14:paraId="7D8746E5" w14:textId="78A54129" w:rsidR="00470AB5" w:rsidRPr="00DD61B9" w:rsidRDefault="00470AB5" w:rsidP="00470AB5">
            <w:pPr>
              <w:pStyle w:val="Body"/>
            </w:pPr>
            <w:r>
              <w:rPr>
                <w:rFonts w:eastAsia="Calibri" w:cs="Calibri"/>
              </w:rPr>
              <w:t>3 credits</w:t>
            </w:r>
          </w:p>
        </w:tc>
        <w:tc>
          <w:tcPr>
            <w:tcW w:w="1843" w:type="dxa"/>
            <w:shd w:val="clear" w:color="auto" w:fill="F7F7F7"/>
          </w:tcPr>
          <w:p w14:paraId="76C1AFBD" w14:textId="77777777" w:rsidR="00470AB5" w:rsidRDefault="00470AB5" w:rsidP="00470AB5">
            <w:pPr>
              <w:pStyle w:val="Body"/>
            </w:pPr>
            <w:r>
              <w:t>Retirement</w:t>
            </w:r>
          </w:p>
          <w:p w14:paraId="7F7FCA96" w14:textId="77777777" w:rsidR="00470AB5" w:rsidRDefault="00470AB5" w:rsidP="00470AB5">
            <w:pPr>
              <w:pStyle w:val="Body"/>
            </w:pPr>
            <w:r>
              <w:t>Investing</w:t>
            </w:r>
          </w:p>
          <w:p w14:paraId="648BD01B" w14:textId="77777777" w:rsidR="00470AB5" w:rsidRDefault="00470AB5" w:rsidP="00470AB5">
            <w:pPr>
              <w:pStyle w:val="Body"/>
            </w:pPr>
            <w:r>
              <w:t>Savings</w:t>
            </w:r>
          </w:p>
          <w:p w14:paraId="49B7C949" w14:textId="62BB8023" w:rsidR="00470AB5" w:rsidRPr="00DD61B9" w:rsidRDefault="00470AB5" w:rsidP="00470AB5">
            <w:pPr>
              <w:pStyle w:val="Body"/>
            </w:pPr>
            <w:r>
              <w:t>KiwiSaver</w:t>
            </w:r>
          </w:p>
        </w:tc>
        <w:tc>
          <w:tcPr>
            <w:tcW w:w="1984" w:type="dxa"/>
            <w:shd w:val="clear" w:color="auto" w:fill="F7F7F7"/>
          </w:tcPr>
          <w:p w14:paraId="2AB1C65E" w14:textId="4E2FA0DF" w:rsidR="00470AB5" w:rsidRPr="00DD61B9" w:rsidRDefault="00470AB5" w:rsidP="00470AB5">
            <w:pPr>
              <w:pStyle w:val="Body"/>
            </w:pPr>
            <w:r>
              <w:t>Factors specific to different stages that impact on personal financial income, such as lower rates of pay when you’re at school, changing living arrangements when you’re in the mid-career stage and stopping work when you retire</w:t>
            </w:r>
          </w:p>
        </w:tc>
        <w:tc>
          <w:tcPr>
            <w:tcW w:w="1450" w:type="dxa"/>
            <w:shd w:val="clear" w:color="auto" w:fill="F7F7F7"/>
          </w:tcPr>
          <w:p w14:paraId="0113DD9E" w14:textId="143B62E8" w:rsidR="00470AB5" w:rsidRPr="00DD61B9" w:rsidRDefault="00470AB5" w:rsidP="00470AB5">
            <w:pPr>
              <w:pStyle w:val="Body"/>
            </w:pPr>
            <w:r>
              <w:t>25 hrs</w:t>
            </w:r>
          </w:p>
        </w:tc>
      </w:tr>
    </w:tbl>
    <w:p w14:paraId="1C7F8556" w14:textId="77777777" w:rsidR="00470AB5" w:rsidRPr="00470AB5" w:rsidRDefault="00470AB5" w:rsidP="00470AB5">
      <w:pPr>
        <w:widowControl w:val="0"/>
        <w:spacing w:after="120"/>
        <w:rPr>
          <w:rStyle w:val="SubtleEmphasis"/>
          <w:b/>
          <w:bCs/>
        </w:rPr>
      </w:pPr>
      <w:r w:rsidRPr="00470AB5">
        <w:rPr>
          <w:rStyle w:val="SubtleEmphasis"/>
          <w:b/>
          <w:bCs/>
        </w:rPr>
        <w:t>The time required to teach the module is provided as a guide only.</w:t>
      </w:r>
    </w:p>
    <w:p w14:paraId="632AFD12" w14:textId="77777777" w:rsidR="00470AB5" w:rsidRDefault="00470AB5" w:rsidP="00470AB5">
      <w:pPr>
        <w:pStyle w:val="Body"/>
      </w:pPr>
      <w:r>
        <w:t>The module is designed for students to be able to work independently or, preferably, with their peers. While not essential, it is expected that students will be able to access expertise from their teacher to support their learning and guide them through the assessments.</w:t>
      </w:r>
    </w:p>
    <w:p w14:paraId="033B8AA9" w14:textId="77777777" w:rsidR="00470AB5" w:rsidRDefault="00470AB5" w:rsidP="00470AB5">
      <w:pPr>
        <w:pStyle w:val="Body"/>
      </w:pPr>
      <w:r>
        <w:t>As well as providing an opportunity for students to consolidate and apply skills covered in a mathematics course, the module can be used separately or combined with the Unit Standard learning materials to form a programme of learning or financial capability course. It should be noted however that as the Unit Standards learning materials do not enable numeracy credits, creating such a course would not be recognised by NZQA as a mathematics course.</w:t>
      </w:r>
    </w:p>
    <w:p w14:paraId="1E43372F" w14:textId="77777777" w:rsidR="00470AB5" w:rsidRDefault="00470AB5" w:rsidP="00470AB5">
      <w:pPr>
        <w:pStyle w:val="Body"/>
      </w:pPr>
      <w:r>
        <w:t xml:space="preserve">The </w:t>
      </w:r>
      <w:hyperlink r:id="rId16">
        <w:r>
          <w:rPr>
            <w:u w:val="single"/>
          </w:rPr>
          <w:t>Sorted in Schools NCEA Toolkit</w:t>
        </w:r>
      </w:hyperlink>
      <w:r>
        <w:t xml:space="preserve"> provides resources for a range of unit standard assessments. Sorted in Schools Unit Standard modules with particular relevance to the Money Matters module include:</w:t>
      </w:r>
    </w:p>
    <w:p w14:paraId="1B155C69" w14:textId="77777777" w:rsidR="00470AB5" w:rsidRDefault="00470AB5" w:rsidP="00470AB5">
      <w:pPr>
        <w:pStyle w:val="BulletList"/>
        <w:ind w:left="284" w:hanging="284"/>
      </w:pPr>
      <w:r>
        <w:t>Credit and Debt (US28088 Demonstrate understanding of credit and debt on personal finances)</w:t>
      </w:r>
    </w:p>
    <w:p w14:paraId="1D86FB51" w14:textId="77777777" w:rsidR="00470AB5" w:rsidRDefault="00470AB5" w:rsidP="00470AB5">
      <w:pPr>
        <w:pStyle w:val="BulletList"/>
        <w:ind w:left="284" w:hanging="284"/>
      </w:pPr>
      <w:r>
        <w:t>Goal Getters (US28089 Demonstrate understanding of personal financial goal setting)</w:t>
      </w:r>
    </w:p>
    <w:p w14:paraId="5E641DBA" w14:textId="77777777" w:rsidR="00470AB5" w:rsidRDefault="00470AB5" w:rsidP="00470AB5">
      <w:pPr>
        <w:pStyle w:val="BulletList"/>
        <w:ind w:left="284" w:hanging="284"/>
      </w:pPr>
      <w:r>
        <w:t>Future Focus (US28090 Demonstrate knowledge of personal saving and investment options for given scenario(s))</w:t>
      </w:r>
    </w:p>
    <w:p w14:paraId="41D55777" w14:textId="77777777" w:rsidR="00470AB5" w:rsidRDefault="00470AB5" w:rsidP="00470AB5">
      <w:pPr>
        <w:pStyle w:val="BulletList"/>
        <w:ind w:left="284" w:hanging="284"/>
      </w:pPr>
      <w:r>
        <w:t>Funding Study (US28093 Describe financial responsibilities and consequences of tertiary study options).</w:t>
      </w:r>
    </w:p>
    <w:p w14:paraId="79DEE47D" w14:textId="77777777" w:rsidR="00470AB5" w:rsidRDefault="00470AB5" w:rsidP="00470AB5">
      <w:pPr>
        <w:pStyle w:val="Body"/>
      </w:pPr>
      <w:r>
        <w:t xml:space="preserve">The </w:t>
      </w:r>
      <w:hyperlink r:id="rId17">
        <w:r>
          <w:rPr>
            <w:u w:val="single"/>
          </w:rPr>
          <w:t>student activities</w:t>
        </w:r>
      </w:hyperlink>
      <w:r>
        <w:t xml:space="preserve"> page of the Sorted in Schools website provides a wealth of resources related to managing money, achieving financial goals, saving and investing, credit and debt, and KiwiSaver. You and your students can find these resources and others by clicking on the relevant Theme and selecting from the dropdown menu. Searching by theme will highlight a range of videos, PowerPoint presentations, booklets, infographics and interactive activities that students can use to strengthen and extend their financial capabilities.</w:t>
      </w:r>
    </w:p>
    <w:p w14:paraId="76F098E7" w14:textId="2D1C6872" w:rsidR="00470AB5" w:rsidRDefault="00470AB5" w:rsidP="00470AB5">
      <w:pPr>
        <w:pStyle w:val="Body"/>
      </w:pPr>
    </w:p>
    <w:p w14:paraId="35DFB89A" w14:textId="77777777" w:rsidR="00470AB5" w:rsidRDefault="00470AB5" w:rsidP="00470AB5">
      <w:pPr>
        <w:pStyle w:val="Body"/>
      </w:pPr>
    </w:p>
    <w:p w14:paraId="0726BBC0" w14:textId="77777777" w:rsidR="00470AB5" w:rsidRDefault="00470AB5" w:rsidP="00470AB5">
      <w:pPr>
        <w:pStyle w:val="Body"/>
      </w:pPr>
      <w:r>
        <w:lastRenderedPageBreak/>
        <w:t xml:space="preserve">Sorted in Schools resources that have particular relevance to this module are: </w:t>
      </w:r>
    </w:p>
    <w:p w14:paraId="73FD6287" w14:textId="77777777" w:rsidR="00470AB5" w:rsidRDefault="00470AB5" w:rsidP="00470AB5">
      <w:pPr>
        <w:pStyle w:val="BulletList"/>
        <w:ind w:left="284" w:hanging="284"/>
      </w:pPr>
      <w:hyperlink r:id="rId18">
        <w:r>
          <w:rPr>
            <w:color w:val="1155CC"/>
            <w:u w:val="single"/>
          </w:rPr>
          <w:t>Managing My Money Sorted booklet</w:t>
        </w:r>
      </w:hyperlink>
    </w:p>
    <w:p w14:paraId="5AB9D492" w14:textId="77777777" w:rsidR="00470AB5" w:rsidRDefault="00470AB5" w:rsidP="00470AB5">
      <w:pPr>
        <w:pStyle w:val="BulletList"/>
        <w:ind w:left="284" w:hanging="284"/>
      </w:pPr>
      <w:hyperlink r:id="rId19">
        <w:r>
          <w:rPr>
            <w:color w:val="1155CC"/>
            <w:u w:val="single"/>
          </w:rPr>
          <w:t>Goals Sorted booklet</w:t>
        </w:r>
      </w:hyperlink>
    </w:p>
    <w:p w14:paraId="261CC4E0" w14:textId="77777777" w:rsidR="00470AB5" w:rsidRDefault="00470AB5" w:rsidP="00470AB5">
      <w:pPr>
        <w:pStyle w:val="BulletList"/>
        <w:ind w:left="284" w:hanging="284"/>
      </w:pPr>
      <w:hyperlink r:id="rId20">
        <w:r>
          <w:rPr>
            <w:color w:val="1155CC"/>
            <w:u w:val="single"/>
          </w:rPr>
          <w:t>Investing Sorted booklet</w:t>
        </w:r>
      </w:hyperlink>
    </w:p>
    <w:p w14:paraId="38B98511" w14:textId="77777777" w:rsidR="00470AB5" w:rsidRDefault="00470AB5" w:rsidP="00470AB5">
      <w:pPr>
        <w:pStyle w:val="BulletList"/>
        <w:ind w:left="284" w:hanging="284"/>
      </w:pPr>
      <w:hyperlink r:id="rId21">
        <w:r>
          <w:rPr>
            <w:color w:val="1155CC"/>
            <w:u w:val="single"/>
          </w:rPr>
          <w:t>Debt Sorted booklet</w:t>
        </w:r>
      </w:hyperlink>
    </w:p>
    <w:p w14:paraId="40329FCA" w14:textId="77777777" w:rsidR="00470AB5" w:rsidRDefault="00470AB5" w:rsidP="00470AB5">
      <w:pPr>
        <w:pStyle w:val="BulletList"/>
        <w:ind w:left="284" w:hanging="284"/>
      </w:pPr>
      <w:hyperlink r:id="rId22">
        <w:r>
          <w:rPr>
            <w:color w:val="1155CC"/>
            <w:u w:val="single"/>
          </w:rPr>
          <w:t>KiwiSaver Sorted booklet</w:t>
        </w:r>
      </w:hyperlink>
      <w:r>
        <w:t xml:space="preserve">. </w:t>
      </w:r>
    </w:p>
    <w:p w14:paraId="14C36528" w14:textId="75733640" w:rsidR="009D77BB" w:rsidRPr="00470AB5" w:rsidRDefault="009D77BB" w:rsidP="00470AB5">
      <w:pPr>
        <w:spacing w:after="0" w:line="240" w:lineRule="auto"/>
        <w:rPr>
          <w:rFonts w:ascii="Calibri" w:hAnsi="Calibri"/>
          <w:b/>
          <w:bCs/>
          <w:color w:val="FF6E32"/>
          <w:sz w:val="48"/>
          <w:szCs w:val="48"/>
          <w:lang w:val="en-GB"/>
        </w:rPr>
      </w:pPr>
    </w:p>
    <w:sectPr w:rsidR="009D77BB" w:rsidRPr="00470AB5" w:rsidSect="00052E30">
      <w:headerReference w:type="default" r:id="rId23"/>
      <w:footerReference w:type="even" r:id="rId24"/>
      <w:footerReference w:type="default" r:id="rId25"/>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2738" w14:textId="77777777" w:rsidR="00500206" w:rsidRDefault="00500206" w:rsidP="00052E30">
      <w:pPr>
        <w:spacing w:after="0" w:line="240" w:lineRule="auto"/>
      </w:pPr>
      <w:r>
        <w:separator/>
      </w:r>
    </w:p>
  </w:endnote>
  <w:endnote w:type="continuationSeparator" w:id="0">
    <w:p w14:paraId="575BF01A" w14:textId="77777777" w:rsidR="00500206" w:rsidRDefault="00500206"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65BF6C99" w14:textId="10EA7532"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4B943AF" w14:textId="10323D7B"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2E1BC2" w14:textId="424EE12F"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02FCC"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853BA" w14:textId="0AD63B02" w:rsidR="00847464" w:rsidRPr="00847464" w:rsidRDefault="00847464" w:rsidP="00052E30">
    <w:pPr>
      <w:pStyle w:val="Footer"/>
      <w:pBdr>
        <w:bottom w:val="single" w:sz="6" w:space="1" w:color="auto"/>
      </w:pBdr>
      <w:rPr>
        <w:color w:val="2C2C2C"/>
        <w:sz w:val="16"/>
        <w:szCs w:val="16"/>
      </w:rPr>
    </w:pPr>
  </w:p>
  <w:p w14:paraId="4C388BC3" w14:textId="6FEFC18B" w:rsidR="00052E30" w:rsidRPr="00052E30" w:rsidRDefault="00500206"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F1B8" w14:textId="77777777" w:rsidR="00500206" w:rsidRDefault="00500206" w:rsidP="00052E30">
      <w:pPr>
        <w:spacing w:after="0" w:line="240" w:lineRule="auto"/>
      </w:pPr>
      <w:r>
        <w:separator/>
      </w:r>
    </w:p>
  </w:footnote>
  <w:footnote w:type="continuationSeparator" w:id="0">
    <w:p w14:paraId="70D972FB" w14:textId="77777777" w:rsidR="00500206" w:rsidRDefault="00500206"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EDF" w14:textId="77777777" w:rsidR="00052E30" w:rsidRDefault="00052E30">
    <w:pPr>
      <w:pStyle w:val="Header"/>
    </w:pPr>
    <w:r>
      <w:rPr>
        <w:noProof/>
      </w:rPr>
      <w:drawing>
        <wp:anchor distT="0" distB="0" distL="114300" distR="114300" simplePos="0" relativeHeight="251659264" behindDoc="1" locked="0" layoutInCell="1" allowOverlap="1" wp14:anchorId="074482A5" wp14:editId="2052D5F4">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E67C6"/>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138AA"/>
    <w:multiLevelType w:val="multilevel"/>
    <w:tmpl w:val="89BA1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30"/>
    <w:rsid w:val="00052E30"/>
    <w:rsid w:val="00176A65"/>
    <w:rsid w:val="00240BDD"/>
    <w:rsid w:val="002A231C"/>
    <w:rsid w:val="00470AB5"/>
    <w:rsid w:val="004D64F4"/>
    <w:rsid w:val="00500206"/>
    <w:rsid w:val="00535FD3"/>
    <w:rsid w:val="0083595F"/>
    <w:rsid w:val="00847464"/>
    <w:rsid w:val="008E56CD"/>
    <w:rsid w:val="009D77BB"/>
    <w:rsid w:val="00C1740B"/>
    <w:rsid w:val="00C7275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B03"/>
  <w15:chartTrackingRefBased/>
  <w15:docId w15:val="{5F1632AA-C7E1-D64F-94AA-8A6DEAA8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E30"/>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styleId="SubtleEmphasis">
    <w:name w:val="Subtle Emphasis"/>
    <w:basedOn w:val="DefaultParagraphFont"/>
    <w:uiPriority w:val="19"/>
    <w:qFormat/>
    <w:rsid w:val="00470AB5"/>
    <w:rPr>
      <w:i/>
      <w:iCs/>
      <w:color w:val="404040" w:themeColor="text1" w:themeTint="BF"/>
    </w:rPr>
  </w:style>
  <w:style w:type="paragraph" w:styleId="BalloonText">
    <w:name w:val="Balloon Text"/>
    <w:basedOn w:val="Normal"/>
    <w:link w:val="BalloonTextChar"/>
    <w:uiPriority w:val="99"/>
    <w:semiHidden/>
    <w:unhideWhenUsed/>
    <w:rsid w:val="00470A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AB5"/>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zqa.govt.nz/ncea/assessment/view-detailed.do?standardNumber=28089" TargetMode="External"/><Relationship Id="rId18" Type="http://schemas.openxmlformats.org/officeDocument/2006/relationships/hyperlink" Target="https://sortedinschools.org.nz/api/v1.0/download?filename=managing-my-money-sorted-booklet&amp;files=54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ortedinschools.org.nz/api/v1.0/download?filename=debt-sorted-booklet&amp;files=541" TargetMode="External"/><Relationship Id="rId7" Type="http://schemas.openxmlformats.org/officeDocument/2006/relationships/webSettings" Target="webSettings.xml"/><Relationship Id="rId12" Type="http://schemas.openxmlformats.org/officeDocument/2006/relationships/hyperlink" Target="https://www.nzqa.govt.nz/ncea/assessment/view-detailed.do?standardNumber=28088" TargetMode="External"/><Relationship Id="rId17" Type="http://schemas.openxmlformats.org/officeDocument/2006/relationships/hyperlink" Target="https://sortedinschools.org.nz/students/activit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ortedinschools.org.nz/teachers/ncea-toolkit/" TargetMode="External"/><Relationship Id="rId20" Type="http://schemas.openxmlformats.org/officeDocument/2006/relationships/hyperlink" Target="https://sortedinschools.org.nz/api/v1.0/download?filename=investing-sorted-booklet&amp;files=54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zqa.govt.nz/ncea/assessment/view-detailed.do?standardNumber=91026"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zqa.govt.nz/ncea/assessment/view-detailed.do?standardNumber=28087"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sortedinschools.org.nz/api/v1.0/download?filename=goals-sorted-booklet&amp;files=5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zqa.govt.nz/ncea/assessment/view-detailed.do?standardNumber=28090" TargetMode="External"/><Relationship Id="rId22" Type="http://schemas.openxmlformats.org/officeDocument/2006/relationships/hyperlink" Target="https://sortedinschools.org.nz/api/v1.0/download?filename=kiwisaver-sorted-booklet&amp;files=551"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396741A3-0914-4FDE-B945-B21EC988B691}"/>
</file>

<file path=docProps/app.xml><?xml version="1.0" encoding="utf-8"?>
<Properties xmlns="http://schemas.openxmlformats.org/officeDocument/2006/extended-properties" xmlns:vt="http://schemas.openxmlformats.org/officeDocument/2006/docPropsVTypes">
  <Template>CO2 - Approach 2 Course Outline.docx</Template>
  <TotalTime>1</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91026;#</dc:subject>
  <dc:creator>Felicity Weller</dc:creator>
  <cp:keywords/>
  <dc:description/>
  <cp:lastModifiedBy>Cassie Amos</cp:lastModifiedBy>
  <cp:revision>3</cp:revision>
  <dcterms:created xsi:type="dcterms:W3CDTF">2021-02-04T03:46:00Z</dcterms:created>
  <dcterms:modified xsi:type="dcterms:W3CDTF">2021-02-04T03:48:00Z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