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9CDA3" w14:textId="3E8D03F6" w:rsidR="007A5F2C" w:rsidRDefault="007A5F2C">
      <w:pPr>
        <w:spacing w:after="0" w:line="240" w:lineRule="auto"/>
        <w:rPr>
          <w:rFonts w:ascii="Calibri" w:hAnsi="Calibri"/>
          <w:b/>
          <w:bCs/>
          <w:color w:val="FF6E32"/>
          <w:sz w:val="48"/>
          <w:szCs w:val="48"/>
          <w:lang w:val="en-GB"/>
        </w:rPr>
      </w:pPr>
      <w:r>
        <w:rPr>
          <w:b/>
          <w:bCs/>
          <w:noProof/>
          <w:color w:val="FF6E32"/>
        </w:rPr>
        <w:drawing>
          <wp:anchor distT="0" distB="0" distL="114300" distR="114300" simplePos="0" relativeHeight="251658240" behindDoc="0" locked="0" layoutInCell="1" allowOverlap="1" wp14:anchorId="42DDC511" wp14:editId="3F3B0BDD">
            <wp:simplePos x="0" y="0"/>
            <wp:positionH relativeFrom="column">
              <wp:posOffset>-215900</wp:posOffset>
            </wp:positionH>
            <wp:positionV relativeFrom="page">
              <wp:posOffset>1061720</wp:posOffset>
            </wp:positionV>
            <wp:extent cx="6230620" cy="8801100"/>
            <wp:effectExtent l="0" t="0" r="5080" b="0"/>
            <wp:wrapSquare wrapText="bothSides"/>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230620" cy="8801100"/>
                    </a:xfrm>
                    <a:prstGeom prst="rect">
                      <a:avLst/>
                    </a:prstGeom>
                  </pic:spPr>
                </pic:pic>
              </a:graphicData>
            </a:graphic>
            <wp14:sizeRelH relativeFrom="page">
              <wp14:pctWidth>0</wp14:pctWidth>
            </wp14:sizeRelH>
            <wp14:sizeRelV relativeFrom="page">
              <wp14:pctHeight>0</wp14:pctHeight>
            </wp14:sizeRelV>
          </wp:anchor>
        </w:drawing>
      </w:r>
      <w:r>
        <w:rPr>
          <w:b/>
          <w:bCs/>
          <w:color w:val="FF6E32"/>
        </w:rPr>
        <w:br w:type="page"/>
      </w:r>
    </w:p>
    <w:p w14:paraId="67F1DC66" w14:textId="77777777" w:rsidR="007A5F2C" w:rsidRPr="00761F85" w:rsidRDefault="007A5F2C" w:rsidP="007A5F2C">
      <w:pPr>
        <w:pStyle w:val="Heading1"/>
        <w:rPr>
          <w:b/>
          <w:bCs/>
        </w:rPr>
      </w:pPr>
      <w:bookmarkStart w:id="0" w:name="_twnb6pkdupay" w:colFirst="0" w:colLast="0"/>
      <w:bookmarkEnd w:id="0"/>
      <w:r w:rsidRPr="00761F85">
        <w:rPr>
          <w:b/>
          <w:bCs/>
        </w:rPr>
        <w:lastRenderedPageBreak/>
        <w:t>Full Course Outline and Design of Sorted in Schools Achievement Standards modules</w:t>
      </w:r>
    </w:p>
    <w:p w14:paraId="44A12645" w14:textId="77777777" w:rsidR="007A5F2C" w:rsidRDefault="007A5F2C" w:rsidP="007A5F2C">
      <w:pPr>
        <w:widowControl w:val="0"/>
        <w:spacing w:line="238" w:lineRule="auto"/>
        <w:rPr>
          <w:rFonts w:ascii="Calibri" w:eastAsia="Calibri" w:hAnsi="Calibri" w:cs="Calibri"/>
        </w:rPr>
      </w:pPr>
    </w:p>
    <w:p w14:paraId="75461083" w14:textId="77777777" w:rsidR="007A5F2C" w:rsidRPr="00761F85" w:rsidRDefault="007A5F2C" w:rsidP="007A5F2C">
      <w:pPr>
        <w:pStyle w:val="Heading1"/>
      </w:pPr>
      <w:bookmarkStart w:id="1" w:name="_xzxgc6qlhn5t" w:colFirst="0" w:colLast="0"/>
      <w:bookmarkEnd w:id="1"/>
      <w:r w:rsidRPr="00761F85">
        <w:t xml:space="preserve">Nau </w:t>
      </w:r>
      <w:proofErr w:type="spellStart"/>
      <w:r w:rsidRPr="00761F85">
        <w:t>mai</w:t>
      </w:r>
      <w:proofErr w:type="spellEnd"/>
      <w:r w:rsidRPr="00761F85">
        <w:t xml:space="preserve"> </w:t>
      </w:r>
      <w:proofErr w:type="spellStart"/>
      <w:r w:rsidRPr="00761F85">
        <w:t>haere</w:t>
      </w:r>
      <w:proofErr w:type="spellEnd"/>
      <w:r w:rsidRPr="00761F85">
        <w:t xml:space="preserve"> </w:t>
      </w:r>
      <w:proofErr w:type="spellStart"/>
      <w:r w:rsidRPr="00761F85">
        <w:t>mai</w:t>
      </w:r>
      <w:proofErr w:type="spellEnd"/>
      <w:r w:rsidRPr="00761F85">
        <w:t>!</w:t>
      </w:r>
    </w:p>
    <w:p w14:paraId="1BF45D90" w14:textId="77777777" w:rsidR="007A5F2C" w:rsidRDefault="007A5F2C" w:rsidP="007A5F2C">
      <w:pPr>
        <w:pStyle w:val="H2"/>
      </w:pPr>
      <w:r>
        <w:t xml:space="preserve">Welcome to the Sorted in </w:t>
      </w:r>
      <w:proofErr w:type="gramStart"/>
      <w:r>
        <w:t>Schools  -</w:t>
      </w:r>
      <w:proofErr w:type="gramEnd"/>
      <w:r>
        <w:t xml:space="preserve"> </w:t>
      </w:r>
      <w:proofErr w:type="spellStart"/>
      <w:r>
        <w:t>Te</w:t>
      </w:r>
      <w:proofErr w:type="spellEnd"/>
      <w:r>
        <w:t xml:space="preserve"> </w:t>
      </w:r>
      <w:proofErr w:type="spellStart"/>
      <w:r>
        <w:t>whai</w:t>
      </w:r>
      <w:proofErr w:type="spellEnd"/>
      <w:r>
        <w:t xml:space="preserve"> </w:t>
      </w:r>
      <w:proofErr w:type="spellStart"/>
      <w:r>
        <w:t>hua</w:t>
      </w:r>
      <w:proofErr w:type="spellEnd"/>
      <w:r>
        <w:t xml:space="preserve"> - kia </w:t>
      </w:r>
      <w:proofErr w:type="spellStart"/>
      <w:r>
        <w:t>ora</w:t>
      </w:r>
      <w:proofErr w:type="spellEnd"/>
      <w:r>
        <w:t>! Achievement Standard modules.</w:t>
      </w:r>
    </w:p>
    <w:p w14:paraId="08B62D6A" w14:textId="77777777" w:rsidR="007A5F2C" w:rsidRDefault="007A5F2C" w:rsidP="007A5F2C">
      <w:pPr>
        <w:pStyle w:val="Subtitle"/>
      </w:pPr>
      <w:bookmarkStart w:id="2" w:name="_lfm43xc0qhih" w:colFirst="0" w:colLast="0"/>
      <w:bookmarkEnd w:id="2"/>
    </w:p>
    <w:p w14:paraId="4FF8F5A7" w14:textId="77777777" w:rsidR="007A5F2C" w:rsidRPr="00761F85" w:rsidRDefault="007A5F2C" w:rsidP="007A5F2C">
      <w:pPr>
        <w:pStyle w:val="Subtitle"/>
        <w:rPr>
          <w:color w:val="000000" w:themeColor="text1"/>
        </w:rPr>
      </w:pPr>
      <w:r w:rsidRPr="00761F85">
        <w:rPr>
          <w:color w:val="000000" w:themeColor="text1"/>
        </w:rPr>
        <w:t xml:space="preserve">About Sorted in Schools - </w:t>
      </w:r>
      <w:proofErr w:type="spellStart"/>
      <w:r w:rsidRPr="00761F85">
        <w:rPr>
          <w:color w:val="000000" w:themeColor="text1"/>
        </w:rPr>
        <w:t>Te</w:t>
      </w:r>
      <w:proofErr w:type="spellEnd"/>
      <w:r w:rsidRPr="00761F85">
        <w:rPr>
          <w:color w:val="000000" w:themeColor="text1"/>
        </w:rPr>
        <w:t xml:space="preserve"> </w:t>
      </w:r>
      <w:proofErr w:type="spellStart"/>
      <w:r w:rsidRPr="00761F85">
        <w:rPr>
          <w:color w:val="000000" w:themeColor="text1"/>
        </w:rPr>
        <w:t>whai</w:t>
      </w:r>
      <w:proofErr w:type="spellEnd"/>
      <w:r w:rsidRPr="00761F85">
        <w:rPr>
          <w:color w:val="000000" w:themeColor="text1"/>
        </w:rPr>
        <w:t xml:space="preserve"> </w:t>
      </w:r>
      <w:proofErr w:type="spellStart"/>
      <w:r w:rsidRPr="00761F85">
        <w:rPr>
          <w:color w:val="000000" w:themeColor="text1"/>
        </w:rPr>
        <w:t>hua</w:t>
      </w:r>
      <w:proofErr w:type="spellEnd"/>
      <w:r w:rsidRPr="00761F85">
        <w:rPr>
          <w:color w:val="000000" w:themeColor="text1"/>
        </w:rPr>
        <w:t xml:space="preserve"> - kia </w:t>
      </w:r>
      <w:proofErr w:type="spellStart"/>
      <w:r w:rsidRPr="00761F85">
        <w:rPr>
          <w:color w:val="000000" w:themeColor="text1"/>
        </w:rPr>
        <w:t>ora</w:t>
      </w:r>
      <w:proofErr w:type="spellEnd"/>
      <w:r w:rsidRPr="00761F85">
        <w:rPr>
          <w:color w:val="000000" w:themeColor="text1"/>
        </w:rPr>
        <w:t>!</w:t>
      </w:r>
    </w:p>
    <w:p w14:paraId="1CF4DFB6" w14:textId="77777777" w:rsidR="007A5F2C" w:rsidRDefault="007A5F2C" w:rsidP="007A5F2C">
      <w:pPr>
        <w:pStyle w:val="Body"/>
      </w:pPr>
      <w:r>
        <w:t>Sorted in Schools is a government-funded financial capability programme fully aligned to the New Zealand Curriculum. Free to use, Sorted in Schools helps young New Zealanders develop their money skills.</w:t>
      </w:r>
    </w:p>
    <w:p w14:paraId="79370D00" w14:textId="77777777" w:rsidR="007A5F2C" w:rsidRPr="00761F85" w:rsidRDefault="007A5F2C" w:rsidP="007A5F2C">
      <w:pPr>
        <w:pStyle w:val="Subtitle"/>
        <w:rPr>
          <w:color w:val="404040" w:themeColor="text1" w:themeTint="BF"/>
        </w:rPr>
      </w:pPr>
      <w:bookmarkStart w:id="3" w:name="_whb0euvfwiba" w:colFirst="0" w:colLast="0"/>
      <w:bookmarkEnd w:id="3"/>
      <w:r w:rsidRPr="00761F85">
        <w:rPr>
          <w:rStyle w:val="SubtleEmphasis"/>
          <w:i w:val="0"/>
          <w:iCs w:val="0"/>
        </w:rPr>
        <w:t xml:space="preserve">Why financial capability matters </w:t>
      </w:r>
    </w:p>
    <w:p w14:paraId="4FFAA891" w14:textId="77777777" w:rsidR="007A5F2C" w:rsidRDefault="007A5F2C" w:rsidP="007A5F2C">
      <w:pPr>
        <w:pStyle w:val="Body"/>
      </w:pPr>
      <w:r>
        <w:t xml:space="preserve">Being good with money is an essential life skill. Financial capability means being equipped with the knowledge, skills and confidence to make good financial decisions at each life </w:t>
      </w:r>
      <w:proofErr w:type="gramStart"/>
      <w:r>
        <w:t>stage, and</w:t>
      </w:r>
      <w:proofErr w:type="gramEnd"/>
      <w:r>
        <w:t xml:space="preserve"> attain goals with choices. Research shows that </w:t>
      </w:r>
      <w:proofErr w:type="gramStart"/>
      <w:r>
        <w:t>16-24 year olds</w:t>
      </w:r>
      <w:proofErr w:type="gramEnd"/>
      <w:r>
        <w:t xml:space="preserve"> are, however, vulnerable to falling into debt that can hold them back. In addition, over 80% of school leavers told us they wished they had learned more about money at school. We’re changing that! Our teaching and learning packages equip students with know-how to start their financial journey on the right foot. The earlier people become good with money, the better they will fare throughout their lives.</w:t>
      </w:r>
    </w:p>
    <w:p w14:paraId="5E21AE59" w14:textId="77777777" w:rsidR="007A5F2C" w:rsidRDefault="007A5F2C" w:rsidP="007A5F2C">
      <w:pPr>
        <w:spacing w:after="0" w:line="276" w:lineRule="auto"/>
        <w:rPr>
          <w:rFonts w:ascii="Calibri" w:hAnsi="Calibri"/>
          <w:color w:val="2D2D2C"/>
          <w:sz w:val="20"/>
          <w:szCs w:val="20"/>
          <w:lang w:val="en-GB"/>
        </w:rPr>
      </w:pPr>
      <w:r>
        <w:br w:type="page"/>
      </w:r>
    </w:p>
    <w:p w14:paraId="1308F15D" w14:textId="77777777" w:rsidR="007A5F2C" w:rsidRDefault="007A5F2C" w:rsidP="007A5F2C">
      <w:pPr>
        <w:pStyle w:val="Body"/>
      </w:pPr>
    </w:p>
    <w:p w14:paraId="5920465D" w14:textId="77777777" w:rsidR="007A5F2C" w:rsidRDefault="007A5F2C" w:rsidP="007A5F2C">
      <w:pPr>
        <w:pStyle w:val="H2"/>
      </w:pPr>
      <w:bookmarkStart w:id="4" w:name="_gdy1fh5h69iw" w:colFirst="0" w:colLast="0"/>
      <w:bookmarkEnd w:id="4"/>
      <w:r>
        <w:t>Rationale behind the Achievement Standard modules</w:t>
      </w:r>
    </w:p>
    <w:p w14:paraId="463845DC" w14:textId="77777777" w:rsidR="007A5F2C" w:rsidRDefault="007A5F2C" w:rsidP="007A5F2C">
      <w:pPr>
        <w:pStyle w:val="Body"/>
      </w:pPr>
      <w:r>
        <w:t>The Achievement Standard modules complement the existing resources provided by Sorted in Schools to provide a full suite of resources available free to all secondary school students (years 9-13):</w:t>
      </w:r>
    </w:p>
    <w:p w14:paraId="77DCEE39" w14:textId="77777777" w:rsidR="007A5F2C" w:rsidRDefault="007A5F2C" w:rsidP="007A5F2C">
      <w:pPr>
        <w:pStyle w:val="Body"/>
      </w:pPr>
    </w:p>
    <w:p w14:paraId="71ABF0B9" w14:textId="77777777" w:rsidR="007A5F2C" w:rsidRDefault="007A5F2C" w:rsidP="007A5F2C">
      <w:pPr>
        <w:pStyle w:val="Body"/>
      </w:pPr>
      <w:r>
        <w:t>Primary/Intermediate activities</w:t>
      </w:r>
    </w:p>
    <w:p w14:paraId="6C3ED853" w14:textId="77777777" w:rsidR="007A5F2C" w:rsidRDefault="007A5F2C" w:rsidP="007A5F2C">
      <w:pPr>
        <w:pStyle w:val="Body"/>
      </w:pPr>
      <w:r>
        <w:t>Year 9/10 resources</w:t>
      </w:r>
    </w:p>
    <w:p w14:paraId="41FDD061" w14:textId="77777777" w:rsidR="007A5F2C" w:rsidRDefault="007A5F2C" w:rsidP="007A5F2C">
      <w:pPr>
        <w:pStyle w:val="Body"/>
      </w:pPr>
      <w:r>
        <w:t>Unit Standards modules</w:t>
      </w:r>
    </w:p>
    <w:p w14:paraId="412FE631" w14:textId="77777777" w:rsidR="007A5F2C" w:rsidRDefault="007A5F2C" w:rsidP="007A5F2C">
      <w:pPr>
        <w:pStyle w:val="Body"/>
      </w:pPr>
      <w:r>
        <w:t>Achievement Standard modules.</w:t>
      </w:r>
    </w:p>
    <w:p w14:paraId="659EAE2E" w14:textId="77777777" w:rsidR="007A5F2C" w:rsidRDefault="007A5F2C" w:rsidP="007A5F2C">
      <w:pPr>
        <w:pStyle w:val="Body"/>
      </w:pPr>
    </w:p>
    <w:p w14:paraId="138D0663" w14:textId="77777777" w:rsidR="007A5F2C" w:rsidRDefault="007A5F2C" w:rsidP="007A5F2C">
      <w:pPr>
        <w:pStyle w:val="Body"/>
      </w:pPr>
      <w:r>
        <w:t>The achievement standard modules include assessment materials and have been chosen to enable students to obtain the 10 numeracy credits needed for university entrance.</w:t>
      </w:r>
    </w:p>
    <w:p w14:paraId="243AB81E" w14:textId="77777777" w:rsidR="007A5F2C" w:rsidRDefault="007A5F2C" w:rsidP="007A5F2C">
      <w:pPr>
        <w:rPr>
          <w:rFonts w:ascii="Calibri" w:eastAsia="Calibri" w:hAnsi="Calibri" w:cs="Calibri"/>
        </w:rPr>
      </w:pPr>
    </w:p>
    <w:p w14:paraId="7BB61A8E" w14:textId="77777777" w:rsidR="007A5F2C" w:rsidRDefault="007A5F2C" w:rsidP="007A5F2C">
      <w:pPr>
        <w:pStyle w:val="H2"/>
      </w:pPr>
      <w:bookmarkStart w:id="5" w:name="_39st2ctc7a86" w:colFirst="0" w:colLast="0"/>
      <w:bookmarkEnd w:id="5"/>
      <w:r>
        <w:t>Contexts for learning</w:t>
      </w:r>
    </w:p>
    <w:p w14:paraId="1425BA9E" w14:textId="77777777" w:rsidR="007A5F2C" w:rsidRDefault="007A5F2C" w:rsidP="007A5F2C">
      <w:pPr>
        <w:pStyle w:val="Body"/>
      </w:pPr>
      <w:r>
        <w:t>The NCEA Level One module is based on the context for learning of a student starting work who has to explore money matters such as understanding her payslip, taxation, KiwiSaver, and budgeting. Numeric reasoning is explored through these contexts.</w:t>
      </w:r>
    </w:p>
    <w:p w14:paraId="0674EAC9" w14:textId="77777777" w:rsidR="007A5F2C" w:rsidRDefault="007A5F2C" w:rsidP="007A5F2C">
      <w:pPr>
        <w:pStyle w:val="Body"/>
      </w:pPr>
      <w:r>
        <w:t>Each NCEA Level Two module is supported by contexts for learning that explore the societal issues surrounding inequality and the climate crisis. Scenarios set the scene for learning and are designed to challenge assumptions, beliefs and thinking.</w:t>
      </w:r>
    </w:p>
    <w:p w14:paraId="4E5FDB03" w14:textId="77777777" w:rsidR="007A5F2C" w:rsidRDefault="007A5F2C" w:rsidP="007A5F2C">
      <w:pPr>
        <w:pStyle w:val="Body"/>
      </w:pPr>
      <w:r>
        <w:t>All modules feature ‘Sorted Themes’ that students will become familiar with as they develop their financial capability.</w:t>
      </w:r>
    </w:p>
    <w:p w14:paraId="4E61F28F" w14:textId="77777777" w:rsidR="007A5F2C" w:rsidRDefault="007A5F2C" w:rsidP="007A5F2C">
      <w:pPr>
        <w:pStyle w:val="Body"/>
      </w:pPr>
      <w:r>
        <w:t>The materials will stimulate discussion and critical thinking so that students can readily place the learning content into context, while keeping the assessment requirements in clear sight.</w:t>
      </w:r>
    </w:p>
    <w:p w14:paraId="2C81AAEE" w14:textId="77777777" w:rsidR="007A5F2C" w:rsidRDefault="007A5F2C" w:rsidP="00052E30">
      <w:pPr>
        <w:pStyle w:val="Heading1"/>
        <w:rPr>
          <w:b/>
          <w:bCs/>
          <w:color w:val="FF6E32"/>
        </w:rPr>
        <w:sectPr w:rsidR="007A5F2C" w:rsidSect="00052E30">
          <w:headerReference w:type="default" r:id="rId11"/>
          <w:footerReference w:type="even" r:id="rId12"/>
          <w:footerReference w:type="default" r:id="rId13"/>
          <w:pgSz w:w="11900" w:h="16840"/>
          <w:pgMar w:top="2007" w:right="1440" w:bottom="1440" w:left="1440" w:header="709" w:footer="709" w:gutter="0"/>
          <w:cols w:space="708"/>
          <w:docGrid w:linePitch="360"/>
        </w:sectPr>
      </w:pPr>
    </w:p>
    <w:p w14:paraId="3EBBB13C" w14:textId="77777777" w:rsidR="007A5F2C" w:rsidRDefault="007A5F2C" w:rsidP="007A5F2C">
      <w:pPr>
        <w:pStyle w:val="H2"/>
      </w:pPr>
      <w:r>
        <w:lastRenderedPageBreak/>
        <w:t xml:space="preserve">Achievement Standards modules matrix </w:t>
      </w:r>
    </w:p>
    <w:p w14:paraId="418B2FA7" w14:textId="77777777" w:rsidR="007A5F2C" w:rsidRDefault="007A5F2C" w:rsidP="007A5F2C">
      <w:pPr>
        <w:pStyle w:val="Body"/>
      </w:pPr>
      <w:r>
        <w:t xml:space="preserve">The table below provides an overview of the achievement standards supported by the modules. The table includes references to the Sorted Themes and key learning contexts that underpin each module along with a synopsis of the topics covered. </w:t>
      </w:r>
    </w:p>
    <w:p w14:paraId="13AFDFE1" w14:textId="77777777" w:rsidR="007A5F2C" w:rsidRPr="00761F85" w:rsidRDefault="007A5F2C" w:rsidP="007A5F2C">
      <w:pPr>
        <w:pStyle w:val="H2"/>
        <w:rPr>
          <w:sz w:val="28"/>
          <w:szCs w:val="28"/>
        </w:rPr>
      </w:pPr>
      <w:r w:rsidRPr="00761F85">
        <w:rPr>
          <w:sz w:val="28"/>
          <w:szCs w:val="28"/>
        </w:rPr>
        <w:t>Level One Module</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top w:w="284" w:type="dxa"/>
        </w:tblCellMar>
        <w:tblLook w:val="04A0" w:firstRow="1" w:lastRow="0" w:firstColumn="1" w:lastColumn="0" w:noHBand="0" w:noVBand="1"/>
      </w:tblPr>
      <w:tblGrid>
        <w:gridCol w:w="3260"/>
        <w:gridCol w:w="3260"/>
        <w:gridCol w:w="3260"/>
        <w:gridCol w:w="3261"/>
      </w:tblGrid>
      <w:tr w:rsidR="007A5F2C" w14:paraId="7A8474CF" w14:textId="54430252" w:rsidTr="004560C4">
        <w:trPr>
          <w:trHeight w:val="227"/>
        </w:trPr>
        <w:tc>
          <w:tcPr>
            <w:tcW w:w="3260" w:type="dxa"/>
            <w:tcBorders>
              <w:top w:val="nil"/>
              <w:bottom w:val="single" w:sz="4" w:space="0" w:color="auto"/>
            </w:tcBorders>
            <w:shd w:val="clear" w:color="auto" w:fill="FF6E32"/>
          </w:tcPr>
          <w:p w14:paraId="083EB05E" w14:textId="42EE5702" w:rsidR="007A5F2C" w:rsidRPr="00DD61B9" w:rsidRDefault="007A5F2C" w:rsidP="007A5F2C">
            <w:pPr>
              <w:pStyle w:val="Body"/>
              <w:jc w:val="center"/>
              <w:rPr>
                <w:b/>
                <w:bCs/>
              </w:rPr>
            </w:pPr>
            <w:r w:rsidRPr="00761F85">
              <w:rPr>
                <w:b/>
                <w:bCs/>
                <w:color w:val="FFFFFF" w:themeColor="background1"/>
              </w:rPr>
              <w:t>Module name</w:t>
            </w:r>
          </w:p>
        </w:tc>
        <w:tc>
          <w:tcPr>
            <w:tcW w:w="3260" w:type="dxa"/>
            <w:tcBorders>
              <w:top w:val="nil"/>
              <w:bottom w:val="single" w:sz="4" w:space="0" w:color="auto"/>
            </w:tcBorders>
            <w:shd w:val="clear" w:color="auto" w:fill="FF6E32"/>
          </w:tcPr>
          <w:p w14:paraId="6800B8B9" w14:textId="03072778" w:rsidR="007A5F2C" w:rsidRPr="00DD61B9" w:rsidRDefault="007A5F2C" w:rsidP="007A5F2C">
            <w:pPr>
              <w:pStyle w:val="Body"/>
              <w:jc w:val="center"/>
            </w:pPr>
            <w:r w:rsidRPr="00761F85">
              <w:rPr>
                <w:b/>
                <w:bCs/>
                <w:color w:val="FFFFFF" w:themeColor="background1"/>
              </w:rPr>
              <w:t>Achievement standard</w:t>
            </w:r>
          </w:p>
        </w:tc>
        <w:tc>
          <w:tcPr>
            <w:tcW w:w="3260" w:type="dxa"/>
            <w:tcBorders>
              <w:top w:val="nil"/>
              <w:bottom w:val="single" w:sz="4" w:space="0" w:color="auto"/>
            </w:tcBorders>
            <w:shd w:val="clear" w:color="auto" w:fill="FF6E32"/>
          </w:tcPr>
          <w:p w14:paraId="7EBB8258" w14:textId="42251268" w:rsidR="007A5F2C" w:rsidRPr="00DD61B9" w:rsidRDefault="007A5F2C" w:rsidP="007A5F2C">
            <w:pPr>
              <w:pStyle w:val="Body"/>
              <w:jc w:val="center"/>
            </w:pPr>
            <w:r w:rsidRPr="00761F85">
              <w:rPr>
                <w:b/>
                <w:bCs/>
                <w:color w:val="FFFFFF" w:themeColor="background1"/>
              </w:rPr>
              <w:t>Sorted Themes</w:t>
            </w:r>
          </w:p>
        </w:tc>
        <w:tc>
          <w:tcPr>
            <w:tcW w:w="3261" w:type="dxa"/>
            <w:tcBorders>
              <w:top w:val="nil"/>
              <w:bottom w:val="single" w:sz="4" w:space="0" w:color="auto"/>
            </w:tcBorders>
            <w:shd w:val="clear" w:color="auto" w:fill="FF6E32"/>
          </w:tcPr>
          <w:p w14:paraId="29BCF322" w14:textId="233FF9D9" w:rsidR="007A5F2C" w:rsidRPr="00DD61B9" w:rsidRDefault="007A5F2C" w:rsidP="007A5F2C">
            <w:pPr>
              <w:pStyle w:val="Body"/>
              <w:jc w:val="center"/>
              <w:rPr>
                <w:b/>
                <w:bCs/>
                <w:color w:val="FFFFFF" w:themeColor="background1"/>
              </w:rPr>
            </w:pPr>
            <w:r w:rsidRPr="00761F85">
              <w:rPr>
                <w:b/>
                <w:bCs/>
                <w:color w:val="FFFFFF" w:themeColor="background1"/>
              </w:rPr>
              <w:t>Key learning contexts</w:t>
            </w:r>
          </w:p>
        </w:tc>
      </w:tr>
      <w:tr w:rsidR="007A5F2C" w14:paraId="0770E11D" w14:textId="50C8360B" w:rsidTr="004560C4">
        <w:tc>
          <w:tcPr>
            <w:tcW w:w="3260" w:type="dxa"/>
            <w:tcBorders>
              <w:top w:val="single" w:sz="4" w:space="0" w:color="auto"/>
            </w:tcBorders>
          </w:tcPr>
          <w:p w14:paraId="4682195E" w14:textId="6860BA0B" w:rsidR="007A5F2C" w:rsidRPr="00DD61B9" w:rsidRDefault="007A5F2C" w:rsidP="007A5F2C">
            <w:pPr>
              <w:pStyle w:val="Body"/>
            </w:pPr>
            <w:r w:rsidRPr="00761F85">
              <w:rPr>
                <w:rFonts w:eastAsia="Calibri" w:cs="Calibri"/>
                <w:b/>
              </w:rPr>
              <w:t>Money Matters</w:t>
            </w:r>
          </w:p>
        </w:tc>
        <w:tc>
          <w:tcPr>
            <w:tcW w:w="3260" w:type="dxa"/>
            <w:tcBorders>
              <w:top w:val="single" w:sz="4" w:space="0" w:color="auto"/>
            </w:tcBorders>
            <w:shd w:val="clear" w:color="auto" w:fill="F7F7F7"/>
          </w:tcPr>
          <w:p w14:paraId="61CE2B62" w14:textId="77777777" w:rsidR="007A5F2C" w:rsidRDefault="000043BF" w:rsidP="007A5F2C">
            <w:pPr>
              <w:pStyle w:val="Body"/>
              <w:rPr>
                <w:rFonts w:eastAsia="Calibri" w:cs="Calibri"/>
              </w:rPr>
            </w:pPr>
            <w:hyperlink r:id="rId14">
              <w:r w:rsidR="007A5F2C">
                <w:rPr>
                  <w:rFonts w:eastAsia="Calibri" w:cs="Calibri"/>
                  <w:color w:val="1155CC"/>
                  <w:u w:val="single"/>
                </w:rPr>
                <w:t>AS91026 Apply numeric reasoning to solving problems</w:t>
              </w:r>
            </w:hyperlink>
          </w:p>
          <w:p w14:paraId="081401D8" w14:textId="3D634450" w:rsidR="007A5F2C" w:rsidRPr="00DD61B9" w:rsidRDefault="007A5F2C" w:rsidP="007A5F2C">
            <w:pPr>
              <w:pStyle w:val="Body"/>
            </w:pPr>
            <w:r>
              <w:rPr>
                <w:rFonts w:eastAsia="Calibri" w:cs="Calibri"/>
              </w:rPr>
              <w:t>4 credits</w:t>
            </w:r>
          </w:p>
        </w:tc>
        <w:tc>
          <w:tcPr>
            <w:tcW w:w="3260" w:type="dxa"/>
            <w:tcBorders>
              <w:top w:val="single" w:sz="4" w:space="0" w:color="auto"/>
            </w:tcBorders>
          </w:tcPr>
          <w:p w14:paraId="2440989E" w14:textId="14D01D4F" w:rsidR="007A5F2C" w:rsidRDefault="007A5F2C" w:rsidP="006131E7">
            <w:pPr>
              <w:pStyle w:val="Body"/>
              <w:spacing w:after="0"/>
              <w:rPr>
                <w:rFonts w:eastAsia="Calibri" w:cs="Calibri"/>
              </w:rPr>
            </w:pPr>
            <w:r>
              <w:rPr>
                <w:rFonts w:eastAsia="Calibri" w:cs="Calibri"/>
              </w:rPr>
              <w:t>Kiwi</w:t>
            </w:r>
            <w:r w:rsidR="006131E7">
              <w:rPr>
                <w:rFonts w:eastAsia="Calibri" w:cs="Calibri"/>
              </w:rPr>
              <w:t>S</w:t>
            </w:r>
            <w:r>
              <w:rPr>
                <w:rFonts w:eastAsia="Calibri" w:cs="Calibri"/>
              </w:rPr>
              <w:t>aver</w:t>
            </w:r>
          </w:p>
          <w:p w14:paraId="5D2B99EC" w14:textId="77777777" w:rsidR="007A5F2C" w:rsidRDefault="007A5F2C" w:rsidP="006131E7">
            <w:pPr>
              <w:pStyle w:val="Body"/>
              <w:spacing w:after="0"/>
              <w:rPr>
                <w:rFonts w:eastAsia="Calibri" w:cs="Calibri"/>
              </w:rPr>
            </w:pPr>
            <w:r>
              <w:rPr>
                <w:rFonts w:eastAsia="Calibri" w:cs="Calibri"/>
              </w:rPr>
              <w:t>Debt</w:t>
            </w:r>
          </w:p>
          <w:p w14:paraId="6CBCD93C" w14:textId="77777777" w:rsidR="007A5F2C" w:rsidRDefault="007A5F2C" w:rsidP="006131E7">
            <w:pPr>
              <w:pStyle w:val="Body"/>
              <w:spacing w:after="0"/>
              <w:rPr>
                <w:rFonts w:eastAsia="Calibri" w:cs="Calibri"/>
              </w:rPr>
            </w:pPr>
            <w:r>
              <w:rPr>
                <w:rFonts w:eastAsia="Calibri" w:cs="Calibri"/>
              </w:rPr>
              <w:t>Goals</w:t>
            </w:r>
          </w:p>
          <w:p w14:paraId="02977505" w14:textId="23E6BF38" w:rsidR="007A5F2C" w:rsidRPr="00DD61B9" w:rsidRDefault="007A5F2C" w:rsidP="006131E7">
            <w:pPr>
              <w:pStyle w:val="Body"/>
              <w:spacing w:after="0"/>
            </w:pPr>
            <w:r>
              <w:rPr>
                <w:rFonts w:eastAsia="Calibri" w:cs="Calibri"/>
              </w:rPr>
              <w:t>Managing my Money</w:t>
            </w:r>
          </w:p>
        </w:tc>
        <w:tc>
          <w:tcPr>
            <w:tcW w:w="3261" w:type="dxa"/>
            <w:tcBorders>
              <w:top w:val="single" w:sz="4" w:space="0" w:color="auto"/>
            </w:tcBorders>
            <w:shd w:val="clear" w:color="auto" w:fill="F7F7F7"/>
          </w:tcPr>
          <w:p w14:paraId="2BCE23E8" w14:textId="66429AE3" w:rsidR="007A5F2C" w:rsidRPr="00DD61B9" w:rsidRDefault="007A5F2C" w:rsidP="007A5F2C">
            <w:pPr>
              <w:pStyle w:val="Body"/>
            </w:pPr>
            <w:r>
              <w:rPr>
                <w:rFonts w:eastAsia="Calibri" w:cs="Calibri"/>
              </w:rPr>
              <w:t>Starting work</w:t>
            </w:r>
          </w:p>
        </w:tc>
      </w:tr>
      <w:tr w:rsidR="007A5F2C" w14:paraId="6C8719A5" w14:textId="1E4441F1" w:rsidTr="004560C4">
        <w:trPr>
          <w:trHeight w:val="1201"/>
        </w:trPr>
        <w:tc>
          <w:tcPr>
            <w:tcW w:w="13041" w:type="dxa"/>
            <w:gridSpan w:val="4"/>
          </w:tcPr>
          <w:p w14:paraId="4CB57AE7" w14:textId="77777777" w:rsidR="007A5F2C" w:rsidRPr="00761F85" w:rsidRDefault="007A5F2C" w:rsidP="007A5F2C">
            <w:pPr>
              <w:spacing w:after="100" w:line="240" w:lineRule="auto"/>
              <w:rPr>
                <w:rFonts w:ascii="Calibri" w:eastAsia="Calibri" w:hAnsi="Calibri" w:cs="Calibri"/>
                <w:b/>
                <w:sz w:val="20"/>
                <w:szCs w:val="20"/>
              </w:rPr>
            </w:pPr>
            <w:r w:rsidRPr="00761F85">
              <w:rPr>
                <w:rFonts w:ascii="Calibri" w:eastAsia="Calibri" w:hAnsi="Calibri" w:cs="Calibri"/>
                <w:b/>
                <w:sz w:val="20"/>
                <w:szCs w:val="20"/>
              </w:rPr>
              <w:t>Topics</w:t>
            </w:r>
          </w:p>
          <w:p w14:paraId="6938C662" w14:textId="77777777" w:rsidR="007A5F2C" w:rsidRPr="00761F85" w:rsidRDefault="007A5F2C" w:rsidP="00304E2F">
            <w:pPr>
              <w:spacing w:after="120" w:line="240" w:lineRule="auto"/>
              <w:ind w:left="720"/>
              <w:rPr>
                <w:rFonts w:ascii="Calibri" w:eastAsia="Calibri" w:hAnsi="Calibri" w:cs="Calibri"/>
                <w:b/>
                <w:bCs/>
                <w:sz w:val="20"/>
                <w:szCs w:val="20"/>
              </w:rPr>
            </w:pPr>
            <w:r w:rsidRPr="00761F85">
              <w:rPr>
                <w:rFonts w:ascii="Calibri" w:eastAsia="Calibri" w:hAnsi="Calibri" w:cs="Calibri"/>
                <w:b/>
                <w:bCs/>
                <w:sz w:val="20"/>
                <w:szCs w:val="20"/>
              </w:rPr>
              <w:t xml:space="preserve">Understanding your </w:t>
            </w:r>
            <w:proofErr w:type="spellStart"/>
            <w:r w:rsidRPr="00761F85">
              <w:rPr>
                <w:rFonts w:ascii="Calibri" w:eastAsia="Calibri" w:hAnsi="Calibri" w:cs="Calibri"/>
                <w:b/>
                <w:bCs/>
                <w:sz w:val="20"/>
                <w:szCs w:val="20"/>
              </w:rPr>
              <w:t>payslip</w:t>
            </w:r>
            <w:proofErr w:type="spellEnd"/>
          </w:p>
          <w:p w14:paraId="421F8EF8" w14:textId="77777777" w:rsidR="007A5F2C" w:rsidRPr="00761F85" w:rsidRDefault="007A5F2C" w:rsidP="00304E2F">
            <w:pPr>
              <w:pStyle w:val="Body"/>
              <w:spacing w:after="120" w:line="240" w:lineRule="auto"/>
              <w:ind w:left="720"/>
            </w:pPr>
            <w:r w:rsidRPr="00761F85">
              <w:t xml:space="preserve">Common elements of payslips, using rates of pay to calculate earnings, overtime, deductions from pay, calculating income tax. </w:t>
            </w:r>
          </w:p>
          <w:p w14:paraId="4FBC931D" w14:textId="77777777" w:rsidR="007A5F2C" w:rsidRPr="00761F85" w:rsidRDefault="007A5F2C" w:rsidP="00304E2F">
            <w:pPr>
              <w:spacing w:after="120" w:line="240" w:lineRule="auto"/>
              <w:ind w:left="720"/>
              <w:rPr>
                <w:rFonts w:ascii="Calibri" w:eastAsia="Calibri" w:hAnsi="Calibri" w:cs="Calibri"/>
                <w:b/>
                <w:bCs/>
                <w:sz w:val="20"/>
                <w:szCs w:val="20"/>
              </w:rPr>
            </w:pPr>
            <w:r w:rsidRPr="00761F85">
              <w:rPr>
                <w:rFonts w:ascii="Calibri" w:eastAsia="Calibri" w:hAnsi="Calibri" w:cs="Calibri"/>
                <w:b/>
                <w:bCs/>
                <w:sz w:val="20"/>
                <w:szCs w:val="20"/>
              </w:rPr>
              <w:t>Buying goods and services</w:t>
            </w:r>
          </w:p>
          <w:p w14:paraId="1064A345" w14:textId="77777777" w:rsidR="007A5F2C" w:rsidRPr="00761F85" w:rsidRDefault="007A5F2C" w:rsidP="00304E2F">
            <w:pPr>
              <w:pStyle w:val="Body"/>
              <w:spacing w:after="120" w:line="240" w:lineRule="auto"/>
              <w:ind w:left="720"/>
            </w:pPr>
            <w:r w:rsidRPr="00761F85">
              <w:t>Goods and Services Tax (GST), GST calculations, using ratios to divide amounts.</w:t>
            </w:r>
          </w:p>
          <w:p w14:paraId="7FD83879" w14:textId="77777777" w:rsidR="007A5F2C" w:rsidRPr="00761F85" w:rsidRDefault="007A5F2C" w:rsidP="00304E2F">
            <w:pPr>
              <w:spacing w:after="120" w:line="240" w:lineRule="auto"/>
              <w:ind w:left="720"/>
              <w:rPr>
                <w:rFonts w:ascii="Calibri" w:eastAsia="Calibri" w:hAnsi="Calibri" w:cs="Calibri"/>
                <w:b/>
                <w:bCs/>
                <w:sz w:val="20"/>
                <w:szCs w:val="20"/>
              </w:rPr>
            </w:pPr>
            <w:r w:rsidRPr="00761F85">
              <w:rPr>
                <w:rFonts w:ascii="Calibri" w:eastAsia="Calibri" w:hAnsi="Calibri" w:cs="Calibri"/>
                <w:b/>
                <w:bCs/>
                <w:sz w:val="20"/>
                <w:szCs w:val="20"/>
              </w:rPr>
              <w:t>Borrowing money</w:t>
            </w:r>
          </w:p>
          <w:p w14:paraId="24FB72D1" w14:textId="77777777" w:rsidR="007A5F2C" w:rsidRPr="00761F85" w:rsidRDefault="007A5F2C" w:rsidP="00304E2F">
            <w:pPr>
              <w:pStyle w:val="Body"/>
              <w:spacing w:after="120" w:line="240" w:lineRule="auto"/>
              <w:ind w:left="720"/>
            </w:pPr>
            <w:r w:rsidRPr="00761F85">
              <w:t>Credit and debt, hire purchase, calculating percentage change, student loans, order of operations (BEMA).</w:t>
            </w:r>
          </w:p>
          <w:p w14:paraId="5D709550" w14:textId="77777777" w:rsidR="007A5F2C" w:rsidRPr="00761F85" w:rsidRDefault="007A5F2C" w:rsidP="00304E2F">
            <w:pPr>
              <w:spacing w:after="120" w:line="240" w:lineRule="auto"/>
              <w:ind w:left="720"/>
              <w:rPr>
                <w:rFonts w:ascii="Calibri" w:eastAsia="Calibri" w:hAnsi="Calibri" w:cs="Calibri"/>
                <w:b/>
                <w:bCs/>
                <w:sz w:val="20"/>
                <w:szCs w:val="20"/>
              </w:rPr>
            </w:pPr>
            <w:r w:rsidRPr="00761F85">
              <w:rPr>
                <w:rFonts w:ascii="Calibri" w:eastAsia="Calibri" w:hAnsi="Calibri" w:cs="Calibri"/>
                <w:b/>
                <w:bCs/>
                <w:sz w:val="20"/>
                <w:szCs w:val="20"/>
              </w:rPr>
              <w:t>Financial goals</w:t>
            </w:r>
          </w:p>
          <w:p w14:paraId="431D12A7" w14:textId="77777777" w:rsidR="007A5F2C" w:rsidRPr="00761F85" w:rsidRDefault="007A5F2C" w:rsidP="00304E2F">
            <w:pPr>
              <w:pStyle w:val="Body"/>
              <w:spacing w:after="120" w:line="240" w:lineRule="auto"/>
              <w:ind w:left="720"/>
            </w:pPr>
            <w:r w:rsidRPr="00761F85">
              <w:t>Savings accounts, term deposits, compound interest, KiwiSaver.</w:t>
            </w:r>
          </w:p>
          <w:p w14:paraId="4D615C6C" w14:textId="77777777" w:rsidR="007A5F2C" w:rsidRPr="00761F85" w:rsidRDefault="007A5F2C" w:rsidP="00304E2F">
            <w:pPr>
              <w:spacing w:after="120" w:line="240" w:lineRule="auto"/>
              <w:ind w:left="720"/>
              <w:rPr>
                <w:rFonts w:ascii="Calibri" w:eastAsia="Calibri" w:hAnsi="Calibri" w:cs="Calibri"/>
                <w:b/>
                <w:bCs/>
                <w:sz w:val="20"/>
                <w:szCs w:val="20"/>
              </w:rPr>
            </w:pPr>
            <w:r w:rsidRPr="00761F85">
              <w:rPr>
                <w:rFonts w:ascii="Calibri" w:eastAsia="Calibri" w:hAnsi="Calibri" w:cs="Calibri"/>
                <w:b/>
                <w:bCs/>
                <w:sz w:val="20"/>
                <w:szCs w:val="20"/>
              </w:rPr>
              <w:t>Tools that support financial decisions</w:t>
            </w:r>
          </w:p>
          <w:p w14:paraId="3BA2790B" w14:textId="15028894" w:rsidR="007A5F2C" w:rsidRPr="00DD61B9" w:rsidRDefault="007A5F2C" w:rsidP="00304E2F">
            <w:pPr>
              <w:pStyle w:val="Body"/>
              <w:spacing w:after="120" w:line="240" w:lineRule="auto"/>
              <w:ind w:left="720"/>
            </w:pPr>
            <w:r w:rsidRPr="00761F85">
              <w:t>Budgets, SMART goals, applying number knowledge to adjust a budget.</w:t>
            </w:r>
          </w:p>
        </w:tc>
      </w:tr>
    </w:tbl>
    <w:p w14:paraId="64AEA418" w14:textId="400E0689" w:rsidR="007A5F2C" w:rsidRPr="00761F85" w:rsidRDefault="007A5F2C" w:rsidP="007A5F2C">
      <w:pPr>
        <w:pStyle w:val="H2"/>
        <w:rPr>
          <w:sz w:val="28"/>
          <w:szCs w:val="28"/>
        </w:rPr>
      </w:pPr>
      <w:r w:rsidRPr="00761F85">
        <w:rPr>
          <w:sz w:val="28"/>
          <w:szCs w:val="28"/>
        </w:rPr>
        <w:lastRenderedPageBreak/>
        <w:t>Level Two Modules</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top w:w="284" w:type="dxa"/>
        </w:tblCellMar>
        <w:tblLook w:val="04A0" w:firstRow="1" w:lastRow="0" w:firstColumn="1" w:lastColumn="0" w:noHBand="0" w:noVBand="1"/>
      </w:tblPr>
      <w:tblGrid>
        <w:gridCol w:w="3260"/>
        <w:gridCol w:w="35"/>
        <w:gridCol w:w="36"/>
        <w:gridCol w:w="3189"/>
        <w:gridCol w:w="71"/>
        <w:gridCol w:w="71"/>
        <w:gridCol w:w="3118"/>
        <w:gridCol w:w="107"/>
        <w:gridCol w:w="106"/>
        <w:gridCol w:w="1831"/>
        <w:gridCol w:w="1217"/>
        <w:gridCol w:w="142"/>
        <w:gridCol w:w="142"/>
      </w:tblGrid>
      <w:tr w:rsidR="007A5F2C" w:rsidRPr="00DD61B9" w14:paraId="34A46B2B" w14:textId="77777777" w:rsidTr="004560C4">
        <w:trPr>
          <w:gridAfter w:val="2"/>
          <w:wAfter w:w="284" w:type="dxa"/>
          <w:trHeight w:val="227"/>
        </w:trPr>
        <w:tc>
          <w:tcPr>
            <w:tcW w:w="3260" w:type="dxa"/>
            <w:tcBorders>
              <w:top w:val="nil"/>
              <w:bottom w:val="single" w:sz="4" w:space="0" w:color="auto"/>
            </w:tcBorders>
            <w:shd w:val="clear" w:color="auto" w:fill="FF6E32"/>
          </w:tcPr>
          <w:p w14:paraId="3EFD3551" w14:textId="62C11B48" w:rsidR="007A5F2C" w:rsidRPr="00DD61B9" w:rsidRDefault="007A5F2C" w:rsidP="007A5F2C">
            <w:pPr>
              <w:pStyle w:val="Body"/>
              <w:jc w:val="center"/>
              <w:rPr>
                <w:b/>
                <w:bCs/>
              </w:rPr>
            </w:pPr>
            <w:r w:rsidRPr="00761F85">
              <w:rPr>
                <w:rFonts w:eastAsia="Calibri" w:cs="Calibri"/>
                <w:b/>
                <w:color w:val="FFFFFF" w:themeColor="background1"/>
              </w:rPr>
              <w:t>Module name</w:t>
            </w:r>
          </w:p>
        </w:tc>
        <w:tc>
          <w:tcPr>
            <w:tcW w:w="3260" w:type="dxa"/>
            <w:gridSpan w:val="3"/>
            <w:tcBorders>
              <w:top w:val="nil"/>
              <w:bottom w:val="single" w:sz="4" w:space="0" w:color="auto"/>
            </w:tcBorders>
            <w:shd w:val="clear" w:color="auto" w:fill="FF6E32"/>
          </w:tcPr>
          <w:p w14:paraId="12F329AA" w14:textId="3B9AB700" w:rsidR="007A5F2C" w:rsidRPr="00DD61B9" w:rsidRDefault="007A5F2C" w:rsidP="007A5F2C">
            <w:pPr>
              <w:pStyle w:val="Body"/>
              <w:jc w:val="center"/>
            </w:pPr>
            <w:r w:rsidRPr="00761F85">
              <w:rPr>
                <w:rFonts w:eastAsia="Calibri" w:cs="Calibri"/>
                <w:b/>
                <w:color w:val="FFFFFF" w:themeColor="background1"/>
              </w:rPr>
              <w:t>Achievement standard</w:t>
            </w:r>
          </w:p>
        </w:tc>
        <w:tc>
          <w:tcPr>
            <w:tcW w:w="3260" w:type="dxa"/>
            <w:gridSpan w:val="3"/>
            <w:tcBorders>
              <w:top w:val="nil"/>
              <w:bottom w:val="single" w:sz="4" w:space="0" w:color="auto"/>
            </w:tcBorders>
            <w:shd w:val="clear" w:color="auto" w:fill="FF6E32"/>
          </w:tcPr>
          <w:p w14:paraId="15920BF1" w14:textId="626F52A2" w:rsidR="007A5F2C" w:rsidRPr="00DD61B9" w:rsidRDefault="007A5F2C" w:rsidP="007A5F2C">
            <w:pPr>
              <w:pStyle w:val="Body"/>
              <w:jc w:val="center"/>
            </w:pPr>
            <w:r w:rsidRPr="00761F85">
              <w:rPr>
                <w:rFonts w:eastAsia="Calibri" w:cs="Calibri"/>
                <w:b/>
                <w:color w:val="FFFFFF" w:themeColor="background1"/>
              </w:rPr>
              <w:t>Sorted Themes</w:t>
            </w:r>
          </w:p>
        </w:tc>
        <w:tc>
          <w:tcPr>
            <w:tcW w:w="3261" w:type="dxa"/>
            <w:gridSpan w:val="4"/>
            <w:tcBorders>
              <w:top w:val="nil"/>
              <w:bottom w:val="single" w:sz="4" w:space="0" w:color="auto"/>
            </w:tcBorders>
            <w:shd w:val="clear" w:color="auto" w:fill="FF6E32"/>
          </w:tcPr>
          <w:p w14:paraId="1EE0E456" w14:textId="24CD9203" w:rsidR="007A5F2C" w:rsidRPr="00DD61B9" w:rsidRDefault="007A5F2C" w:rsidP="007A5F2C">
            <w:pPr>
              <w:pStyle w:val="Body"/>
              <w:jc w:val="center"/>
              <w:rPr>
                <w:b/>
                <w:bCs/>
                <w:color w:val="FFFFFF" w:themeColor="background1"/>
              </w:rPr>
            </w:pPr>
            <w:r w:rsidRPr="00761F85">
              <w:rPr>
                <w:rFonts w:eastAsia="Calibri" w:cs="Calibri"/>
                <w:b/>
                <w:color w:val="FFFFFF" w:themeColor="background1"/>
              </w:rPr>
              <w:t>Key learning contexts</w:t>
            </w:r>
          </w:p>
        </w:tc>
      </w:tr>
      <w:tr w:rsidR="007A5F2C" w:rsidRPr="00DD61B9" w14:paraId="777352E3" w14:textId="77777777" w:rsidTr="004560C4">
        <w:trPr>
          <w:gridAfter w:val="2"/>
          <w:wAfter w:w="284" w:type="dxa"/>
        </w:trPr>
        <w:tc>
          <w:tcPr>
            <w:tcW w:w="3260" w:type="dxa"/>
            <w:tcBorders>
              <w:top w:val="single" w:sz="4" w:space="0" w:color="auto"/>
            </w:tcBorders>
          </w:tcPr>
          <w:p w14:paraId="22B025BE" w14:textId="7F50E7B5" w:rsidR="007A5F2C" w:rsidRPr="00DD61B9" w:rsidRDefault="007A5F2C" w:rsidP="007A5F2C">
            <w:pPr>
              <w:pStyle w:val="Body"/>
            </w:pPr>
            <w:r w:rsidRPr="00761F85">
              <w:rPr>
                <w:b/>
                <w:bCs/>
              </w:rPr>
              <w:t>Statistical Inference</w:t>
            </w:r>
          </w:p>
        </w:tc>
        <w:tc>
          <w:tcPr>
            <w:tcW w:w="3260" w:type="dxa"/>
            <w:gridSpan w:val="3"/>
            <w:tcBorders>
              <w:top w:val="single" w:sz="4" w:space="0" w:color="auto"/>
            </w:tcBorders>
            <w:shd w:val="clear" w:color="auto" w:fill="F7F7F7"/>
          </w:tcPr>
          <w:p w14:paraId="78FBD8E7" w14:textId="77777777" w:rsidR="007A5F2C" w:rsidRPr="00761F85" w:rsidRDefault="000043BF" w:rsidP="007A5F2C">
            <w:pPr>
              <w:pStyle w:val="Body"/>
              <w:rPr>
                <w:b/>
                <w:bCs/>
              </w:rPr>
            </w:pPr>
            <w:hyperlink r:id="rId15">
              <w:r w:rsidR="007A5F2C" w:rsidRPr="00761F85">
                <w:rPr>
                  <w:b/>
                  <w:bCs/>
                  <w:color w:val="1155CC"/>
                  <w:u w:val="single"/>
                </w:rPr>
                <w:t>AS91264 Use statistical methods to make an inference</w:t>
              </w:r>
            </w:hyperlink>
          </w:p>
          <w:p w14:paraId="7A34F268" w14:textId="70BCFD04" w:rsidR="007A5F2C" w:rsidRPr="00DD61B9" w:rsidRDefault="007A5F2C" w:rsidP="007A5F2C">
            <w:pPr>
              <w:pStyle w:val="Body"/>
            </w:pPr>
            <w:r w:rsidRPr="00761F85">
              <w:t>4 credits</w:t>
            </w:r>
          </w:p>
        </w:tc>
        <w:tc>
          <w:tcPr>
            <w:tcW w:w="3260" w:type="dxa"/>
            <w:gridSpan w:val="3"/>
            <w:tcBorders>
              <w:top w:val="single" w:sz="4" w:space="0" w:color="auto"/>
            </w:tcBorders>
          </w:tcPr>
          <w:p w14:paraId="419C3CEB" w14:textId="77777777" w:rsidR="007A5F2C" w:rsidRPr="00761F85" w:rsidRDefault="007A5F2C" w:rsidP="007A5F2C">
            <w:pPr>
              <w:pStyle w:val="Body"/>
            </w:pPr>
            <w:r w:rsidRPr="00761F85">
              <w:t>KiwiSaver</w:t>
            </w:r>
          </w:p>
          <w:p w14:paraId="21D9CE27" w14:textId="77777777" w:rsidR="007A5F2C" w:rsidRPr="00761F85" w:rsidRDefault="007A5F2C" w:rsidP="007A5F2C">
            <w:pPr>
              <w:pStyle w:val="Body"/>
            </w:pPr>
            <w:r w:rsidRPr="00761F85">
              <w:t>Retirement</w:t>
            </w:r>
          </w:p>
          <w:p w14:paraId="6D002DED" w14:textId="62564928" w:rsidR="007A5F2C" w:rsidRPr="00DD61B9" w:rsidRDefault="00BE6873" w:rsidP="007A5F2C">
            <w:pPr>
              <w:pStyle w:val="Body"/>
            </w:pPr>
            <w:r>
              <w:t>Managing my Money</w:t>
            </w:r>
          </w:p>
        </w:tc>
        <w:tc>
          <w:tcPr>
            <w:tcW w:w="3261" w:type="dxa"/>
            <w:gridSpan w:val="4"/>
            <w:tcBorders>
              <w:top w:val="single" w:sz="4" w:space="0" w:color="auto"/>
            </w:tcBorders>
            <w:shd w:val="clear" w:color="auto" w:fill="F7F7F7"/>
          </w:tcPr>
          <w:p w14:paraId="3AEED522" w14:textId="78D7C4E5" w:rsidR="007A5F2C" w:rsidRPr="00DD61B9" w:rsidRDefault="007A5F2C" w:rsidP="007A5F2C">
            <w:pPr>
              <w:pStyle w:val="Body"/>
            </w:pPr>
            <w:r w:rsidRPr="00761F85">
              <w:t>Inequality, especially the gender pay gap</w:t>
            </w:r>
          </w:p>
        </w:tc>
      </w:tr>
      <w:tr w:rsidR="007A5F2C" w:rsidRPr="00DD61B9" w14:paraId="69265071" w14:textId="77777777" w:rsidTr="00304E2F">
        <w:trPr>
          <w:gridAfter w:val="2"/>
          <w:wAfter w:w="284" w:type="dxa"/>
          <w:trHeight w:val="1201"/>
        </w:trPr>
        <w:tc>
          <w:tcPr>
            <w:tcW w:w="13041" w:type="dxa"/>
            <w:gridSpan w:val="11"/>
          </w:tcPr>
          <w:p w14:paraId="2542B562" w14:textId="77777777" w:rsidR="007A5F2C" w:rsidRPr="00761F85" w:rsidRDefault="007A5F2C" w:rsidP="004560C4">
            <w:pPr>
              <w:pStyle w:val="Body"/>
              <w:spacing w:after="0" w:line="240" w:lineRule="auto"/>
              <w:rPr>
                <w:b/>
                <w:bCs/>
              </w:rPr>
            </w:pPr>
            <w:r w:rsidRPr="00761F85">
              <w:rPr>
                <w:b/>
                <w:bCs/>
              </w:rPr>
              <w:t>Topics</w:t>
            </w:r>
          </w:p>
          <w:p w14:paraId="0B353A7C" w14:textId="77777777" w:rsidR="007A5F2C" w:rsidRPr="00761F85" w:rsidRDefault="007A5F2C" w:rsidP="004560C4">
            <w:pPr>
              <w:pStyle w:val="Body"/>
              <w:spacing w:after="120" w:line="240" w:lineRule="auto"/>
              <w:ind w:left="720"/>
              <w:rPr>
                <w:b/>
                <w:bCs/>
              </w:rPr>
            </w:pPr>
            <w:r w:rsidRPr="00761F85">
              <w:rPr>
                <w:b/>
                <w:bCs/>
              </w:rPr>
              <w:t>Establishing a purpose and an investigative question</w:t>
            </w:r>
          </w:p>
          <w:p w14:paraId="141169C6" w14:textId="77777777" w:rsidR="007A5F2C" w:rsidRDefault="007A5F2C" w:rsidP="004560C4">
            <w:pPr>
              <w:pStyle w:val="Body"/>
              <w:spacing w:after="120" w:line="240" w:lineRule="auto"/>
              <w:ind w:left="720"/>
            </w:pPr>
            <w:r>
              <w:t>Identifying a problem to investigate, defining the population, sub-groups, variables, and measure of interest, developing an investigative question.</w:t>
            </w:r>
          </w:p>
          <w:p w14:paraId="7B138E08" w14:textId="77777777" w:rsidR="007A5F2C" w:rsidRPr="00761F85" w:rsidRDefault="007A5F2C" w:rsidP="004560C4">
            <w:pPr>
              <w:pStyle w:val="Body"/>
              <w:spacing w:after="120" w:line="240" w:lineRule="auto"/>
              <w:ind w:left="720"/>
              <w:rPr>
                <w:b/>
                <w:bCs/>
              </w:rPr>
            </w:pPr>
            <w:r w:rsidRPr="00761F85">
              <w:rPr>
                <w:b/>
                <w:bCs/>
              </w:rPr>
              <w:t>Selecting a sample</w:t>
            </w:r>
          </w:p>
          <w:p w14:paraId="383CBAD6" w14:textId="77777777" w:rsidR="007A5F2C" w:rsidRDefault="007A5F2C" w:rsidP="004560C4">
            <w:pPr>
              <w:pStyle w:val="Body"/>
              <w:spacing w:after="120" w:line="240" w:lineRule="auto"/>
              <w:ind w:left="720"/>
            </w:pPr>
            <w:r>
              <w:t>Representativeness and lack of bias, advantages and disadvantages of different types of samples (simple random, stratified, systematic).</w:t>
            </w:r>
          </w:p>
          <w:p w14:paraId="0CD87199" w14:textId="77777777" w:rsidR="007A5F2C" w:rsidRPr="00761F85" w:rsidRDefault="007A5F2C" w:rsidP="004560C4">
            <w:pPr>
              <w:pStyle w:val="Body"/>
              <w:spacing w:after="120" w:line="240" w:lineRule="auto"/>
              <w:ind w:left="720"/>
              <w:rPr>
                <w:b/>
                <w:bCs/>
              </w:rPr>
            </w:pPr>
            <w:r w:rsidRPr="00761F85">
              <w:rPr>
                <w:b/>
                <w:bCs/>
              </w:rPr>
              <w:t>Displaying data and calculating statistics</w:t>
            </w:r>
          </w:p>
          <w:p w14:paraId="668AA37E" w14:textId="77777777" w:rsidR="007A5F2C" w:rsidRDefault="007A5F2C" w:rsidP="004560C4">
            <w:pPr>
              <w:pStyle w:val="Body"/>
              <w:spacing w:after="120" w:line="240" w:lineRule="auto"/>
              <w:ind w:left="720"/>
            </w:pPr>
            <w:r>
              <w:t xml:space="preserve">How to interpret a box plot, how to use </w:t>
            </w:r>
            <w:proofErr w:type="spellStart"/>
            <w:r>
              <w:t>NZGrapher</w:t>
            </w:r>
            <w:proofErr w:type="spellEnd"/>
            <w:r>
              <w:t xml:space="preserve"> to create a box plot, how to select a sample using </w:t>
            </w:r>
            <w:proofErr w:type="spellStart"/>
            <w:r>
              <w:t>NZGrapher</w:t>
            </w:r>
            <w:proofErr w:type="spellEnd"/>
            <w:r>
              <w:t>.</w:t>
            </w:r>
          </w:p>
          <w:p w14:paraId="6FAEF95A" w14:textId="77777777" w:rsidR="007A5F2C" w:rsidRPr="00761F85" w:rsidRDefault="007A5F2C" w:rsidP="004560C4">
            <w:pPr>
              <w:pStyle w:val="Body"/>
              <w:spacing w:after="120" w:line="240" w:lineRule="auto"/>
              <w:ind w:left="720"/>
              <w:rPr>
                <w:b/>
                <w:bCs/>
              </w:rPr>
            </w:pPr>
            <w:r w:rsidRPr="00761F85">
              <w:rPr>
                <w:b/>
                <w:bCs/>
              </w:rPr>
              <w:t>Comparing box plots and summary statistics</w:t>
            </w:r>
          </w:p>
          <w:p w14:paraId="26A0F712" w14:textId="77777777" w:rsidR="007A5F2C" w:rsidRDefault="007A5F2C" w:rsidP="004560C4">
            <w:pPr>
              <w:pStyle w:val="Body"/>
              <w:spacing w:after="120" w:line="240" w:lineRule="auto"/>
              <w:ind w:left="720"/>
            </w:pPr>
            <w:r>
              <w:t xml:space="preserve">Using PEEL to make mathematical statements, comparing box plots by referring to their central tendency, symmetry, spread, overlap, and unusual features, knowing how to remove outliers. </w:t>
            </w:r>
          </w:p>
          <w:p w14:paraId="08332D4F" w14:textId="77777777" w:rsidR="007A5F2C" w:rsidRPr="00761F85" w:rsidRDefault="007A5F2C" w:rsidP="004560C4">
            <w:pPr>
              <w:pStyle w:val="Body"/>
              <w:spacing w:after="120" w:line="240" w:lineRule="auto"/>
              <w:ind w:left="720"/>
              <w:rPr>
                <w:b/>
                <w:bCs/>
              </w:rPr>
            </w:pPr>
            <w:r w:rsidRPr="00761F85">
              <w:rPr>
                <w:b/>
                <w:bCs/>
              </w:rPr>
              <w:t>Confidence intervals</w:t>
            </w:r>
          </w:p>
          <w:p w14:paraId="2E5DD2EB" w14:textId="77777777" w:rsidR="007A5F2C" w:rsidRDefault="007A5F2C" w:rsidP="004560C4">
            <w:pPr>
              <w:pStyle w:val="Body"/>
              <w:spacing w:after="120" w:line="240" w:lineRule="auto"/>
              <w:ind w:left="720"/>
            </w:pPr>
            <w:r>
              <w:t>Why samples vary, why confidence intervals are more useful than point estimates, how to construct a confidence interval, how to interpret a confidence interval, how to draw a conclusion.</w:t>
            </w:r>
          </w:p>
          <w:p w14:paraId="60714315" w14:textId="77777777" w:rsidR="007A5F2C" w:rsidRPr="00761F85" w:rsidRDefault="007A5F2C" w:rsidP="004560C4">
            <w:pPr>
              <w:pStyle w:val="Body"/>
              <w:spacing w:after="120" w:line="240" w:lineRule="auto"/>
              <w:ind w:left="720"/>
              <w:rPr>
                <w:b/>
                <w:bCs/>
              </w:rPr>
            </w:pPr>
            <w:r w:rsidRPr="00761F85">
              <w:rPr>
                <w:b/>
                <w:bCs/>
              </w:rPr>
              <w:t>Writing your report</w:t>
            </w:r>
          </w:p>
          <w:p w14:paraId="0D82ACA8" w14:textId="742761EE" w:rsidR="007A5F2C" w:rsidRPr="00DD61B9" w:rsidRDefault="007A5F2C" w:rsidP="004560C4">
            <w:pPr>
              <w:pStyle w:val="Body"/>
              <w:spacing w:after="120" w:line="240" w:lineRule="auto"/>
              <w:ind w:left="720"/>
            </w:pPr>
            <w:r>
              <w:t>How to use the PPDAC statistical inquiry cycle to structure your report.</w:t>
            </w:r>
          </w:p>
        </w:tc>
      </w:tr>
      <w:tr w:rsidR="007A5F2C" w14:paraId="01DDEEA0" w14:textId="77777777" w:rsidTr="004560C4">
        <w:trPr>
          <w:gridAfter w:val="1"/>
          <w:wAfter w:w="142" w:type="dxa"/>
          <w:trHeight w:val="227"/>
        </w:trPr>
        <w:tc>
          <w:tcPr>
            <w:tcW w:w="3295" w:type="dxa"/>
            <w:gridSpan w:val="2"/>
            <w:tcBorders>
              <w:top w:val="nil"/>
              <w:bottom w:val="single" w:sz="4" w:space="0" w:color="auto"/>
            </w:tcBorders>
            <w:shd w:val="clear" w:color="auto" w:fill="FF6E32"/>
          </w:tcPr>
          <w:p w14:paraId="396183C9" w14:textId="1A656A70" w:rsidR="007A5F2C" w:rsidRPr="00DD61B9" w:rsidRDefault="007A5F2C" w:rsidP="007A5F2C">
            <w:pPr>
              <w:pStyle w:val="Body"/>
              <w:jc w:val="center"/>
              <w:rPr>
                <w:b/>
                <w:bCs/>
              </w:rPr>
            </w:pPr>
            <w:r w:rsidRPr="00761F85">
              <w:rPr>
                <w:b/>
                <w:bCs/>
                <w:color w:val="FFFFFF" w:themeColor="background1"/>
              </w:rPr>
              <w:lastRenderedPageBreak/>
              <w:t>Module name</w:t>
            </w:r>
          </w:p>
        </w:tc>
        <w:tc>
          <w:tcPr>
            <w:tcW w:w="3296" w:type="dxa"/>
            <w:gridSpan w:val="3"/>
            <w:tcBorders>
              <w:top w:val="nil"/>
              <w:bottom w:val="single" w:sz="4" w:space="0" w:color="auto"/>
            </w:tcBorders>
            <w:shd w:val="clear" w:color="auto" w:fill="FF6E32"/>
          </w:tcPr>
          <w:p w14:paraId="6D0979AD" w14:textId="584F0ABB" w:rsidR="007A5F2C" w:rsidRPr="00DD61B9" w:rsidRDefault="007A5F2C" w:rsidP="007A5F2C">
            <w:pPr>
              <w:pStyle w:val="Body"/>
              <w:jc w:val="center"/>
            </w:pPr>
            <w:r w:rsidRPr="00761F85">
              <w:rPr>
                <w:b/>
                <w:bCs/>
                <w:color w:val="FFFFFF" w:themeColor="background1"/>
              </w:rPr>
              <w:t>Achievement standard</w:t>
            </w:r>
          </w:p>
        </w:tc>
        <w:tc>
          <w:tcPr>
            <w:tcW w:w="3296" w:type="dxa"/>
            <w:gridSpan w:val="3"/>
            <w:tcBorders>
              <w:top w:val="nil"/>
              <w:bottom w:val="single" w:sz="4" w:space="0" w:color="auto"/>
            </w:tcBorders>
            <w:shd w:val="clear" w:color="auto" w:fill="FF6E32"/>
          </w:tcPr>
          <w:p w14:paraId="1F8DE2E0" w14:textId="31F2CA91" w:rsidR="007A5F2C" w:rsidRPr="00DD61B9" w:rsidRDefault="007A5F2C" w:rsidP="007A5F2C">
            <w:pPr>
              <w:pStyle w:val="Body"/>
              <w:jc w:val="center"/>
            </w:pPr>
            <w:r w:rsidRPr="00761F85">
              <w:rPr>
                <w:b/>
                <w:bCs/>
                <w:color w:val="FFFFFF" w:themeColor="background1"/>
              </w:rPr>
              <w:t>Sorted Themes</w:t>
            </w:r>
          </w:p>
        </w:tc>
        <w:tc>
          <w:tcPr>
            <w:tcW w:w="3296" w:type="dxa"/>
            <w:gridSpan w:val="4"/>
            <w:tcBorders>
              <w:top w:val="nil"/>
              <w:bottom w:val="single" w:sz="4" w:space="0" w:color="auto"/>
            </w:tcBorders>
            <w:shd w:val="clear" w:color="auto" w:fill="FF6E32"/>
          </w:tcPr>
          <w:p w14:paraId="21457D20" w14:textId="43880D5A" w:rsidR="007A5F2C" w:rsidRPr="00DD61B9" w:rsidRDefault="007A5F2C" w:rsidP="007A5F2C">
            <w:pPr>
              <w:pStyle w:val="Body"/>
              <w:jc w:val="center"/>
              <w:rPr>
                <w:b/>
                <w:bCs/>
                <w:color w:val="FFFFFF" w:themeColor="background1"/>
              </w:rPr>
            </w:pPr>
            <w:r w:rsidRPr="00761F85">
              <w:rPr>
                <w:b/>
                <w:bCs/>
                <w:color w:val="FFFFFF" w:themeColor="background1"/>
              </w:rPr>
              <w:t>Key learning contexts</w:t>
            </w:r>
          </w:p>
        </w:tc>
      </w:tr>
      <w:tr w:rsidR="007A5F2C" w14:paraId="797B0626" w14:textId="77777777" w:rsidTr="004560C4">
        <w:trPr>
          <w:gridAfter w:val="1"/>
          <w:wAfter w:w="142" w:type="dxa"/>
        </w:trPr>
        <w:tc>
          <w:tcPr>
            <w:tcW w:w="3295" w:type="dxa"/>
            <w:gridSpan w:val="2"/>
            <w:tcBorders>
              <w:top w:val="single" w:sz="4" w:space="0" w:color="auto"/>
            </w:tcBorders>
          </w:tcPr>
          <w:p w14:paraId="3A1813DE" w14:textId="56CA5EAD" w:rsidR="007A5F2C" w:rsidRPr="00DD61B9" w:rsidRDefault="007A5F2C" w:rsidP="007A5F2C">
            <w:pPr>
              <w:pStyle w:val="Body"/>
            </w:pPr>
            <w:r w:rsidRPr="00761F85">
              <w:rPr>
                <w:b/>
                <w:bCs/>
              </w:rPr>
              <w:t>Statistical Reports</w:t>
            </w:r>
          </w:p>
        </w:tc>
        <w:tc>
          <w:tcPr>
            <w:tcW w:w="3296" w:type="dxa"/>
            <w:gridSpan w:val="3"/>
            <w:tcBorders>
              <w:top w:val="single" w:sz="4" w:space="0" w:color="auto"/>
            </w:tcBorders>
            <w:shd w:val="clear" w:color="auto" w:fill="F7F7F7"/>
          </w:tcPr>
          <w:p w14:paraId="5E6D730F" w14:textId="77777777" w:rsidR="007A5F2C" w:rsidRPr="00761F85" w:rsidRDefault="000043BF" w:rsidP="007A5F2C">
            <w:pPr>
              <w:pStyle w:val="Body"/>
              <w:rPr>
                <w:b/>
                <w:bCs/>
              </w:rPr>
            </w:pPr>
            <w:hyperlink r:id="rId16">
              <w:r w:rsidR="007A5F2C" w:rsidRPr="00761F85">
                <w:rPr>
                  <w:b/>
                  <w:bCs/>
                  <w:color w:val="1155CC"/>
                  <w:u w:val="single"/>
                </w:rPr>
                <w:t>AS91266 Evaluate a statistically based report</w:t>
              </w:r>
            </w:hyperlink>
          </w:p>
          <w:p w14:paraId="61346CC0" w14:textId="27E3EDED" w:rsidR="007A5F2C" w:rsidRPr="00DD61B9" w:rsidRDefault="007A5F2C" w:rsidP="007A5F2C">
            <w:pPr>
              <w:pStyle w:val="Body"/>
            </w:pPr>
            <w:r>
              <w:t>2 credits</w:t>
            </w:r>
          </w:p>
        </w:tc>
        <w:tc>
          <w:tcPr>
            <w:tcW w:w="3296" w:type="dxa"/>
            <w:gridSpan w:val="3"/>
            <w:tcBorders>
              <w:top w:val="single" w:sz="4" w:space="0" w:color="auto"/>
            </w:tcBorders>
          </w:tcPr>
          <w:p w14:paraId="139B9114" w14:textId="77777777" w:rsidR="007A5F2C" w:rsidRDefault="007A5F2C" w:rsidP="007A5F2C">
            <w:pPr>
              <w:pStyle w:val="Body"/>
            </w:pPr>
            <w:r>
              <w:t>KiwiSaver</w:t>
            </w:r>
          </w:p>
          <w:p w14:paraId="52197206" w14:textId="77777777" w:rsidR="007A5F2C" w:rsidRDefault="007A5F2C" w:rsidP="007A5F2C">
            <w:pPr>
              <w:pStyle w:val="Body"/>
            </w:pPr>
            <w:r>
              <w:t>Retirement</w:t>
            </w:r>
          </w:p>
          <w:p w14:paraId="27FA4822" w14:textId="35382E24" w:rsidR="007A5F2C" w:rsidRPr="00DD61B9" w:rsidRDefault="007A5F2C" w:rsidP="007A5F2C">
            <w:pPr>
              <w:pStyle w:val="Body"/>
            </w:pPr>
            <w:r>
              <w:t>Investing</w:t>
            </w:r>
          </w:p>
        </w:tc>
        <w:tc>
          <w:tcPr>
            <w:tcW w:w="3296" w:type="dxa"/>
            <w:gridSpan w:val="4"/>
            <w:tcBorders>
              <w:top w:val="single" w:sz="4" w:space="0" w:color="auto"/>
            </w:tcBorders>
            <w:shd w:val="clear" w:color="auto" w:fill="F7F7F7"/>
          </w:tcPr>
          <w:p w14:paraId="47AE0177" w14:textId="39CEFBC9" w:rsidR="007A5F2C" w:rsidRPr="00DD61B9" w:rsidRDefault="007A5F2C" w:rsidP="007A5F2C">
            <w:pPr>
              <w:pStyle w:val="Body"/>
            </w:pPr>
            <w:r>
              <w:t>Ethical investments</w:t>
            </w:r>
          </w:p>
        </w:tc>
      </w:tr>
      <w:tr w:rsidR="007A5F2C" w14:paraId="2E76AFF5" w14:textId="77777777" w:rsidTr="004560C4">
        <w:trPr>
          <w:gridAfter w:val="1"/>
          <w:wAfter w:w="142" w:type="dxa"/>
          <w:trHeight w:val="1201"/>
        </w:trPr>
        <w:tc>
          <w:tcPr>
            <w:tcW w:w="13183" w:type="dxa"/>
            <w:gridSpan w:val="12"/>
          </w:tcPr>
          <w:p w14:paraId="78107A2B" w14:textId="77777777" w:rsidR="007A5F2C" w:rsidRPr="00761F85" w:rsidRDefault="007A5F2C" w:rsidP="007A5F2C">
            <w:pPr>
              <w:pStyle w:val="Body"/>
              <w:rPr>
                <w:b/>
                <w:bCs/>
              </w:rPr>
            </w:pPr>
            <w:r w:rsidRPr="00761F85">
              <w:rPr>
                <w:b/>
                <w:bCs/>
              </w:rPr>
              <w:t>Topics</w:t>
            </w:r>
          </w:p>
          <w:p w14:paraId="2B2BB032" w14:textId="77777777" w:rsidR="007A5F2C" w:rsidRPr="00761F85" w:rsidRDefault="007A5F2C" w:rsidP="00304E2F">
            <w:pPr>
              <w:pStyle w:val="Body"/>
              <w:spacing w:after="120"/>
              <w:ind w:left="720"/>
              <w:rPr>
                <w:b/>
                <w:bCs/>
              </w:rPr>
            </w:pPr>
            <w:r w:rsidRPr="00761F85">
              <w:rPr>
                <w:b/>
                <w:bCs/>
              </w:rPr>
              <w:t>Introduction to statistical reports and the contexts for this module</w:t>
            </w:r>
          </w:p>
          <w:p w14:paraId="46132948" w14:textId="77777777" w:rsidR="007A5F2C" w:rsidRDefault="007A5F2C" w:rsidP="00304E2F">
            <w:pPr>
              <w:pStyle w:val="Body"/>
              <w:spacing w:after="120"/>
              <w:ind w:left="720"/>
            </w:pPr>
            <w:r>
              <w:t>What a statistical report is, the statistical enquiry cycle, background information on KiwiSaver and Mindful Money</w:t>
            </w:r>
          </w:p>
          <w:p w14:paraId="6823950E" w14:textId="77777777" w:rsidR="007A5F2C" w:rsidRPr="00761F85" w:rsidRDefault="007A5F2C" w:rsidP="00304E2F">
            <w:pPr>
              <w:pStyle w:val="Body"/>
              <w:spacing w:after="120"/>
              <w:ind w:left="720"/>
              <w:rPr>
                <w:b/>
                <w:bCs/>
              </w:rPr>
            </w:pPr>
            <w:r w:rsidRPr="00761F85">
              <w:rPr>
                <w:b/>
                <w:bCs/>
              </w:rPr>
              <w:t>Identifying the purpose and the population of interest</w:t>
            </w:r>
          </w:p>
          <w:p w14:paraId="381A3B7D" w14:textId="77777777" w:rsidR="007A5F2C" w:rsidRDefault="007A5F2C" w:rsidP="00304E2F">
            <w:pPr>
              <w:pStyle w:val="Body"/>
              <w:spacing w:after="120"/>
              <w:ind w:left="720"/>
            </w:pPr>
            <w:r>
              <w:t>How to identify the purpose, target and sample populations.</w:t>
            </w:r>
          </w:p>
          <w:p w14:paraId="6168F87C" w14:textId="77777777" w:rsidR="007A5F2C" w:rsidRPr="00761F85" w:rsidRDefault="007A5F2C" w:rsidP="00304E2F">
            <w:pPr>
              <w:pStyle w:val="Body"/>
              <w:spacing w:after="120"/>
              <w:ind w:left="720"/>
              <w:rPr>
                <w:b/>
                <w:bCs/>
              </w:rPr>
            </w:pPr>
            <w:r w:rsidRPr="00761F85">
              <w:rPr>
                <w:b/>
                <w:bCs/>
              </w:rPr>
              <w:t>Population measures and variables</w:t>
            </w:r>
          </w:p>
          <w:p w14:paraId="1311913B" w14:textId="77777777" w:rsidR="007A5F2C" w:rsidRDefault="007A5F2C" w:rsidP="00304E2F">
            <w:pPr>
              <w:pStyle w:val="Body"/>
              <w:spacing w:after="120"/>
              <w:ind w:left="720"/>
            </w:pPr>
            <w:r>
              <w:t>Types of data (qualitative and quantitative), Likert scales.</w:t>
            </w:r>
          </w:p>
          <w:p w14:paraId="23FD324B" w14:textId="77777777" w:rsidR="007A5F2C" w:rsidRPr="00761F85" w:rsidRDefault="007A5F2C" w:rsidP="00304E2F">
            <w:pPr>
              <w:pStyle w:val="Body"/>
              <w:spacing w:after="120"/>
              <w:ind w:left="720"/>
              <w:rPr>
                <w:b/>
                <w:bCs/>
              </w:rPr>
            </w:pPr>
            <w:r w:rsidRPr="00761F85">
              <w:rPr>
                <w:b/>
                <w:bCs/>
              </w:rPr>
              <w:t>Sampling methods and statistical errors</w:t>
            </w:r>
          </w:p>
          <w:p w14:paraId="437F2104" w14:textId="77777777" w:rsidR="007A5F2C" w:rsidRDefault="007A5F2C" w:rsidP="00304E2F">
            <w:pPr>
              <w:pStyle w:val="Body"/>
              <w:spacing w:after="120"/>
              <w:ind w:left="720"/>
            </w:pPr>
            <w:r>
              <w:t>Sampling methods (simple random, stratified, quota, volunteer), sampling error, non-sampling errors, weighting.</w:t>
            </w:r>
          </w:p>
          <w:p w14:paraId="7F227203" w14:textId="77777777" w:rsidR="007A5F2C" w:rsidRPr="00761F85" w:rsidRDefault="007A5F2C" w:rsidP="00304E2F">
            <w:pPr>
              <w:pStyle w:val="Body"/>
              <w:spacing w:after="120"/>
              <w:ind w:left="720"/>
              <w:rPr>
                <w:b/>
                <w:bCs/>
              </w:rPr>
            </w:pPr>
            <w:r w:rsidRPr="00761F85">
              <w:rPr>
                <w:b/>
                <w:bCs/>
              </w:rPr>
              <w:t>Survey methods</w:t>
            </w:r>
          </w:p>
          <w:p w14:paraId="677CDBF1" w14:textId="77777777" w:rsidR="007A5F2C" w:rsidRDefault="007A5F2C" w:rsidP="00304E2F">
            <w:pPr>
              <w:pStyle w:val="Body"/>
              <w:spacing w:after="120"/>
              <w:ind w:left="720"/>
            </w:pPr>
            <w:r>
              <w:t>Postal questionnaires, telephone surveys, online surveys.</w:t>
            </w:r>
          </w:p>
          <w:p w14:paraId="3C0E9A52" w14:textId="77777777" w:rsidR="007A5F2C" w:rsidRPr="00761F85" w:rsidRDefault="007A5F2C" w:rsidP="00304E2F">
            <w:pPr>
              <w:pStyle w:val="Body"/>
              <w:spacing w:after="120"/>
              <w:ind w:left="720"/>
              <w:rPr>
                <w:b/>
                <w:bCs/>
              </w:rPr>
            </w:pPr>
            <w:r w:rsidRPr="00761F85">
              <w:rPr>
                <w:b/>
                <w:bCs/>
              </w:rPr>
              <w:t>Commenting on the findings of a report and structuring your own report</w:t>
            </w:r>
          </w:p>
          <w:p w14:paraId="44A2A3E7" w14:textId="1743199A" w:rsidR="007A5F2C" w:rsidRPr="00DD61B9" w:rsidRDefault="007A5F2C" w:rsidP="00304E2F">
            <w:pPr>
              <w:pStyle w:val="Body"/>
              <w:spacing w:after="120"/>
              <w:ind w:left="720"/>
            </w:pPr>
            <w:r>
              <w:t>Making links between the findings of the report and its purpose, evaluating the findings, using the PPDAC statistical enquiry process to structure your report.</w:t>
            </w:r>
          </w:p>
        </w:tc>
      </w:tr>
      <w:tr w:rsidR="007A5F2C" w14:paraId="0B7195A6" w14:textId="77777777" w:rsidTr="004560C4">
        <w:trPr>
          <w:trHeight w:val="227"/>
        </w:trPr>
        <w:tc>
          <w:tcPr>
            <w:tcW w:w="3331" w:type="dxa"/>
            <w:gridSpan w:val="3"/>
            <w:tcBorders>
              <w:top w:val="nil"/>
              <w:bottom w:val="single" w:sz="4" w:space="0" w:color="auto"/>
            </w:tcBorders>
            <w:shd w:val="clear" w:color="auto" w:fill="FF6E32"/>
          </w:tcPr>
          <w:p w14:paraId="03C6A4AF" w14:textId="3F93FC8E" w:rsidR="007A5F2C" w:rsidRPr="00DD61B9" w:rsidRDefault="007A5F2C" w:rsidP="007A5F2C">
            <w:pPr>
              <w:pStyle w:val="Body"/>
              <w:jc w:val="center"/>
              <w:rPr>
                <w:b/>
                <w:bCs/>
              </w:rPr>
            </w:pPr>
            <w:r w:rsidRPr="00761F85">
              <w:rPr>
                <w:b/>
                <w:bCs/>
                <w:color w:val="FFFFFF" w:themeColor="background1"/>
              </w:rPr>
              <w:lastRenderedPageBreak/>
              <w:t>Module name</w:t>
            </w:r>
          </w:p>
        </w:tc>
        <w:tc>
          <w:tcPr>
            <w:tcW w:w="3331" w:type="dxa"/>
            <w:gridSpan w:val="3"/>
            <w:tcBorders>
              <w:top w:val="nil"/>
              <w:bottom w:val="single" w:sz="4" w:space="0" w:color="auto"/>
            </w:tcBorders>
            <w:shd w:val="clear" w:color="auto" w:fill="FF6E32"/>
          </w:tcPr>
          <w:p w14:paraId="76A87416" w14:textId="0FA69254" w:rsidR="007A5F2C" w:rsidRPr="00DD61B9" w:rsidRDefault="007A5F2C" w:rsidP="007A5F2C">
            <w:pPr>
              <w:pStyle w:val="Body"/>
              <w:jc w:val="center"/>
            </w:pPr>
            <w:r w:rsidRPr="00761F85">
              <w:rPr>
                <w:b/>
                <w:bCs/>
                <w:color w:val="FFFFFF" w:themeColor="background1"/>
              </w:rPr>
              <w:t>Achievement standard</w:t>
            </w:r>
          </w:p>
        </w:tc>
        <w:tc>
          <w:tcPr>
            <w:tcW w:w="3331" w:type="dxa"/>
            <w:gridSpan w:val="3"/>
            <w:tcBorders>
              <w:top w:val="nil"/>
              <w:bottom w:val="single" w:sz="4" w:space="0" w:color="auto"/>
            </w:tcBorders>
            <w:shd w:val="clear" w:color="auto" w:fill="FF6E32"/>
          </w:tcPr>
          <w:p w14:paraId="377A57C5" w14:textId="682C6D87" w:rsidR="007A5F2C" w:rsidRPr="00DD61B9" w:rsidRDefault="007A5F2C" w:rsidP="007A5F2C">
            <w:pPr>
              <w:pStyle w:val="Body"/>
              <w:jc w:val="center"/>
            </w:pPr>
            <w:r w:rsidRPr="00761F85">
              <w:rPr>
                <w:b/>
                <w:bCs/>
                <w:color w:val="FFFFFF" w:themeColor="background1"/>
              </w:rPr>
              <w:t>Sorted Themes</w:t>
            </w:r>
          </w:p>
        </w:tc>
        <w:tc>
          <w:tcPr>
            <w:tcW w:w="3332" w:type="dxa"/>
            <w:gridSpan w:val="4"/>
            <w:tcBorders>
              <w:top w:val="nil"/>
              <w:bottom w:val="single" w:sz="4" w:space="0" w:color="auto"/>
            </w:tcBorders>
            <w:shd w:val="clear" w:color="auto" w:fill="FF6E32"/>
          </w:tcPr>
          <w:p w14:paraId="6B85EA12" w14:textId="4AC1BA8C" w:rsidR="007A5F2C" w:rsidRPr="00DD61B9" w:rsidRDefault="007A5F2C" w:rsidP="007A5F2C">
            <w:pPr>
              <w:pStyle w:val="Body"/>
              <w:jc w:val="center"/>
              <w:rPr>
                <w:b/>
                <w:bCs/>
                <w:color w:val="FFFFFF" w:themeColor="background1"/>
              </w:rPr>
            </w:pPr>
            <w:r w:rsidRPr="00761F85">
              <w:rPr>
                <w:b/>
                <w:bCs/>
                <w:color w:val="FFFFFF" w:themeColor="background1"/>
              </w:rPr>
              <w:t>Key learning contexts</w:t>
            </w:r>
          </w:p>
        </w:tc>
      </w:tr>
      <w:tr w:rsidR="007A5F2C" w14:paraId="6A8339E4" w14:textId="77777777" w:rsidTr="004560C4">
        <w:tc>
          <w:tcPr>
            <w:tcW w:w="3331" w:type="dxa"/>
            <w:gridSpan w:val="3"/>
            <w:tcBorders>
              <w:top w:val="single" w:sz="4" w:space="0" w:color="auto"/>
            </w:tcBorders>
          </w:tcPr>
          <w:p w14:paraId="1F86C45E" w14:textId="7B53A751" w:rsidR="007A5F2C" w:rsidRPr="007A5F2C" w:rsidRDefault="007A5F2C" w:rsidP="007A5F2C">
            <w:pPr>
              <w:pStyle w:val="Body"/>
              <w:rPr>
                <w:b/>
                <w:bCs/>
              </w:rPr>
            </w:pPr>
            <w:r w:rsidRPr="007A5F2C">
              <w:rPr>
                <w:b/>
                <w:bCs/>
              </w:rPr>
              <w:t>Economic data, issues, and analysis</w:t>
            </w:r>
          </w:p>
        </w:tc>
        <w:tc>
          <w:tcPr>
            <w:tcW w:w="3331" w:type="dxa"/>
            <w:gridSpan w:val="3"/>
            <w:tcBorders>
              <w:top w:val="single" w:sz="4" w:space="0" w:color="auto"/>
            </w:tcBorders>
            <w:shd w:val="clear" w:color="auto" w:fill="F7F7F7"/>
          </w:tcPr>
          <w:p w14:paraId="5BC5A703" w14:textId="77777777" w:rsidR="007A5F2C" w:rsidRDefault="000043BF" w:rsidP="007A5F2C">
            <w:pPr>
              <w:pStyle w:val="Body"/>
            </w:pPr>
            <w:hyperlink r:id="rId17">
              <w:r w:rsidR="007A5F2C">
                <w:rPr>
                  <w:color w:val="1155CC"/>
                  <w:u w:val="single"/>
                </w:rPr>
                <w:t>AS91226 Analyse statistical data relating to contemporary economic issues</w:t>
              </w:r>
            </w:hyperlink>
          </w:p>
          <w:p w14:paraId="6C7E2F29" w14:textId="48A5142D" w:rsidR="007A5F2C" w:rsidRPr="00DD61B9" w:rsidRDefault="007A5F2C" w:rsidP="007A5F2C">
            <w:pPr>
              <w:pStyle w:val="Body"/>
            </w:pPr>
            <w:r>
              <w:t>4 credits</w:t>
            </w:r>
          </w:p>
        </w:tc>
        <w:tc>
          <w:tcPr>
            <w:tcW w:w="3331" w:type="dxa"/>
            <w:gridSpan w:val="3"/>
            <w:tcBorders>
              <w:top w:val="single" w:sz="4" w:space="0" w:color="auto"/>
            </w:tcBorders>
          </w:tcPr>
          <w:p w14:paraId="30A9DD86" w14:textId="77777777" w:rsidR="007A5F2C" w:rsidRDefault="007A5F2C" w:rsidP="007A5F2C">
            <w:pPr>
              <w:pStyle w:val="Body"/>
            </w:pPr>
            <w:r>
              <w:t>Savings</w:t>
            </w:r>
          </w:p>
          <w:p w14:paraId="7FA41FB0" w14:textId="77777777" w:rsidR="007A5F2C" w:rsidRDefault="007A5F2C" w:rsidP="007A5F2C">
            <w:pPr>
              <w:pStyle w:val="Body"/>
            </w:pPr>
            <w:r>
              <w:t>KiwiSaver</w:t>
            </w:r>
          </w:p>
          <w:p w14:paraId="74DA8EB3" w14:textId="5660B1F0" w:rsidR="007A5F2C" w:rsidRPr="00DD61B9" w:rsidRDefault="007A5F2C" w:rsidP="007A5F2C">
            <w:pPr>
              <w:pStyle w:val="Body"/>
            </w:pPr>
            <w:r>
              <w:t>Retirement</w:t>
            </w:r>
          </w:p>
        </w:tc>
        <w:tc>
          <w:tcPr>
            <w:tcW w:w="3332" w:type="dxa"/>
            <w:gridSpan w:val="4"/>
            <w:tcBorders>
              <w:top w:val="single" w:sz="4" w:space="0" w:color="auto"/>
            </w:tcBorders>
            <w:shd w:val="clear" w:color="auto" w:fill="F7F7F7"/>
          </w:tcPr>
          <w:p w14:paraId="7FA14FE6" w14:textId="7F593959" w:rsidR="007A5F2C" w:rsidRPr="00DD61B9" w:rsidRDefault="007A5F2C" w:rsidP="007A5F2C">
            <w:pPr>
              <w:pStyle w:val="Body"/>
            </w:pPr>
            <w:r>
              <w:t>Interrelationships between inequality, climate change, and the New Zealand economy</w:t>
            </w:r>
          </w:p>
        </w:tc>
      </w:tr>
      <w:tr w:rsidR="007A5F2C" w14:paraId="7E407896" w14:textId="77777777" w:rsidTr="00AE62D1">
        <w:trPr>
          <w:gridAfter w:val="3"/>
          <w:wAfter w:w="1501" w:type="dxa"/>
          <w:trHeight w:val="1201"/>
        </w:trPr>
        <w:tc>
          <w:tcPr>
            <w:tcW w:w="11824" w:type="dxa"/>
            <w:gridSpan w:val="10"/>
          </w:tcPr>
          <w:p w14:paraId="5DBDCFB8" w14:textId="77777777" w:rsidR="007A5F2C" w:rsidRPr="007A5F2C" w:rsidRDefault="007A5F2C" w:rsidP="007A5F2C">
            <w:pPr>
              <w:pStyle w:val="Body"/>
              <w:rPr>
                <w:b/>
                <w:bCs/>
              </w:rPr>
            </w:pPr>
            <w:r w:rsidRPr="007A5F2C">
              <w:rPr>
                <w:b/>
                <w:bCs/>
              </w:rPr>
              <w:t>Topics</w:t>
            </w:r>
          </w:p>
          <w:p w14:paraId="55D6A082" w14:textId="77777777" w:rsidR="007A5F2C" w:rsidRPr="007A5F2C" w:rsidRDefault="007A5F2C" w:rsidP="007B3913">
            <w:pPr>
              <w:pStyle w:val="Body"/>
              <w:ind w:left="720"/>
              <w:rPr>
                <w:b/>
                <w:bCs/>
              </w:rPr>
            </w:pPr>
            <w:r w:rsidRPr="007A5F2C">
              <w:rPr>
                <w:b/>
                <w:bCs/>
              </w:rPr>
              <w:t>Processing and presenting statistical data</w:t>
            </w:r>
          </w:p>
          <w:p w14:paraId="25D86CD3" w14:textId="77777777" w:rsidR="007A5F2C" w:rsidRDefault="007A5F2C" w:rsidP="007B3913">
            <w:pPr>
              <w:pStyle w:val="Body"/>
              <w:ind w:left="720"/>
            </w:pPr>
            <w:r>
              <w:t xml:space="preserve">Understanding how to process and present statistical data to show trends, </w:t>
            </w:r>
            <w:proofErr w:type="gramStart"/>
            <w:r>
              <w:t>including  calculating</w:t>
            </w:r>
            <w:proofErr w:type="gramEnd"/>
            <w:r>
              <w:t xml:space="preserve"> summations, means (averages), percentages and percentage changes, and extrapolating data to make predictions.</w:t>
            </w:r>
          </w:p>
          <w:p w14:paraId="7AD3AD12" w14:textId="77777777" w:rsidR="007A5F2C" w:rsidRPr="007A5F2C" w:rsidRDefault="007A5F2C" w:rsidP="007B3913">
            <w:pPr>
              <w:pStyle w:val="Body"/>
              <w:ind w:left="720"/>
              <w:rPr>
                <w:b/>
                <w:bCs/>
              </w:rPr>
            </w:pPr>
            <w:r w:rsidRPr="007A5F2C">
              <w:rPr>
                <w:b/>
                <w:bCs/>
              </w:rPr>
              <w:t>Explaining trends in statistical data</w:t>
            </w:r>
          </w:p>
          <w:p w14:paraId="25A38440" w14:textId="77777777" w:rsidR="007A5F2C" w:rsidRDefault="007A5F2C" w:rsidP="007B3913">
            <w:pPr>
              <w:pStyle w:val="Body"/>
              <w:ind w:left="720"/>
            </w:pPr>
            <w:r>
              <w:t>Understanding how to provide detailed explanations of relationships in statistical data using economic concepts and/or models.</w:t>
            </w:r>
          </w:p>
          <w:p w14:paraId="0D1556B5" w14:textId="77777777" w:rsidR="007A5F2C" w:rsidRPr="007A5F2C" w:rsidRDefault="007A5F2C" w:rsidP="007B3913">
            <w:pPr>
              <w:pStyle w:val="Body"/>
              <w:ind w:left="720"/>
              <w:rPr>
                <w:b/>
                <w:bCs/>
              </w:rPr>
            </w:pPr>
            <w:r w:rsidRPr="007A5F2C">
              <w:rPr>
                <w:b/>
                <w:bCs/>
              </w:rPr>
              <w:t>Explaining the inter-relationships between climate change and inequality</w:t>
            </w:r>
          </w:p>
          <w:p w14:paraId="06AC0DDD" w14:textId="77777777" w:rsidR="007A5F2C" w:rsidRDefault="007A5F2C" w:rsidP="007B3913">
            <w:pPr>
              <w:pStyle w:val="Body"/>
              <w:ind w:left="720"/>
            </w:pPr>
            <w:r>
              <w:t>Understanding how to provide detailed explanations of inter-relationships between statistical data using economic concepts and/or models.</w:t>
            </w:r>
          </w:p>
          <w:p w14:paraId="119C7BEE" w14:textId="77777777" w:rsidR="007A5F2C" w:rsidRPr="007A5F2C" w:rsidRDefault="007A5F2C" w:rsidP="007B3913">
            <w:pPr>
              <w:pStyle w:val="Body"/>
              <w:ind w:left="720"/>
              <w:rPr>
                <w:b/>
                <w:bCs/>
              </w:rPr>
            </w:pPr>
            <w:r w:rsidRPr="007A5F2C">
              <w:rPr>
                <w:b/>
                <w:bCs/>
              </w:rPr>
              <w:t>Making a justified forecast</w:t>
            </w:r>
          </w:p>
          <w:p w14:paraId="6BB79E4A" w14:textId="3B4B061E" w:rsidR="007A5F2C" w:rsidRPr="00DD61B9" w:rsidRDefault="007A5F2C" w:rsidP="007B3913">
            <w:pPr>
              <w:pStyle w:val="Body"/>
              <w:ind w:left="720"/>
            </w:pPr>
            <w:r>
              <w:t>Understanding how to provide a justified forecast for one contemporary economic issue by using extrapolated statistical data.</w:t>
            </w:r>
          </w:p>
        </w:tc>
      </w:tr>
    </w:tbl>
    <w:p w14:paraId="114045D7" w14:textId="77777777" w:rsidR="007A5F2C" w:rsidRDefault="007A5F2C">
      <w:pPr>
        <w:spacing w:after="0" w:line="240" w:lineRule="auto"/>
        <w:rPr>
          <w:rFonts w:ascii="Calibri" w:hAnsi="Calibri"/>
          <w:b/>
          <w:bCs/>
          <w:color w:val="FF6E32"/>
          <w:sz w:val="48"/>
          <w:szCs w:val="48"/>
          <w:lang w:val="en-GB"/>
        </w:rPr>
      </w:pPr>
      <w:r>
        <w:rPr>
          <w:b/>
          <w:bCs/>
          <w:color w:val="FF6E32"/>
        </w:rPr>
        <w:br w:type="page"/>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top w:w="284" w:type="dxa"/>
        </w:tblCellMar>
        <w:tblLook w:val="04A0" w:firstRow="1" w:lastRow="0" w:firstColumn="1" w:lastColumn="0" w:noHBand="0" w:noVBand="1"/>
      </w:tblPr>
      <w:tblGrid>
        <w:gridCol w:w="3295"/>
        <w:gridCol w:w="3296"/>
        <w:gridCol w:w="3296"/>
        <w:gridCol w:w="3296"/>
      </w:tblGrid>
      <w:tr w:rsidR="007A5F2C" w14:paraId="3B58C4DD" w14:textId="77777777" w:rsidTr="004560C4">
        <w:trPr>
          <w:trHeight w:val="227"/>
        </w:trPr>
        <w:tc>
          <w:tcPr>
            <w:tcW w:w="3295" w:type="dxa"/>
            <w:tcBorders>
              <w:top w:val="nil"/>
              <w:bottom w:val="single" w:sz="4" w:space="0" w:color="auto"/>
            </w:tcBorders>
            <w:shd w:val="clear" w:color="auto" w:fill="FF6E32"/>
          </w:tcPr>
          <w:p w14:paraId="69C40293" w14:textId="77777777" w:rsidR="007A5F2C" w:rsidRPr="00DD61B9" w:rsidRDefault="007A5F2C" w:rsidP="00AE62D1">
            <w:pPr>
              <w:pStyle w:val="Body"/>
              <w:jc w:val="center"/>
              <w:rPr>
                <w:b/>
                <w:bCs/>
              </w:rPr>
            </w:pPr>
            <w:r w:rsidRPr="00761F85">
              <w:rPr>
                <w:b/>
                <w:bCs/>
                <w:color w:val="FFFFFF" w:themeColor="background1"/>
              </w:rPr>
              <w:lastRenderedPageBreak/>
              <w:t>Module name</w:t>
            </w:r>
          </w:p>
        </w:tc>
        <w:tc>
          <w:tcPr>
            <w:tcW w:w="3296" w:type="dxa"/>
            <w:tcBorders>
              <w:top w:val="nil"/>
              <w:bottom w:val="single" w:sz="4" w:space="0" w:color="auto"/>
            </w:tcBorders>
            <w:shd w:val="clear" w:color="auto" w:fill="FF6E32"/>
          </w:tcPr>
          <w:p w14:paraId="1FA3A775" w14:textId="77777777" w:rsidR="007A5F2C" w:rsidRPr="00DD61B9" w:rsidRDefault="007A5F2C" w:rsidP="00AE62D1">
            <w:pPr>
              <w:pStyle w:val="Body"/>
              <w:jc w:val="center"/>
            </w:pPr>
            <w:r w:rsidRPr="00761F85">
              <w:rPr>
                <w:b/>
                <w:bCs/>
                <w:color w:val="FFFFFF" w:themeColor="background1"/>
              </w:rPr>
              <w:t>Achievement standard</w:t>
            </w:r>
          </w:p>
        </w:tc>
        <w:tc>
          <w:tcPr>
            <w:tcW w:w="3296" w:type="dxa"/>
            <w:tcBorders>
              <w:top w:val="nil"/>
              <w:bottom w:val="single" w:sz="4" w:space="0" w:color="auto"/>
            </w:tcBorders>
            <w:shd w:val="clear" w:color="auto" w:fill="FF6E32"/>
          </w:tcPr>
          <w:p w14:paraId="645BF61D" w14:textId="77777777" w:rsidR="007A5F2C" w:rsidRPr="00DD61B9" w:rsidRDefault="007A5F2C" w:rsidP="00AE62D1">
            <w:pPr>
              <w:pStyle w:val="Body"/>
              <w:jc w:val="center"/>
            </w:pPr>
            <w:r w:rsidRPr="00761F85">
              <w:rPr>
                <w:b/>
                <w:bCs/>
                <w:color w:val="FFFFFF" w:themeColor="background1"/>
              </w:rPr>
              <w:t>Sorted Themes</w:t>
            </w:r>
          </w:p>
        </w:tc>
        <w:tc>
          <w:tcPr>
            <w:tcW w:w="3296" w:type="dxa"/>
            <w:tcBorders>
              <w:top w:val="nil"/>
              <w:bottom w:val="single" w:sz="4" w:space="0" w:color="auto"/>
            </w:tcBorders>
            <w:shd w:val="clear" w:color="auto" w:fill="FF6E32"/>
          </w:tcPr>
          <w:p w14:paraId="36FDA2BC" w14:textId="77777777" w:rsidR="007A5F2C" w:rsidRPr="00DD61B9" w:rsidRDefault="007A5F2C" w:rsidP="00AE62D1">
            <w:pPr>
              <w:pStyle w:val="Body"/>
              <w:jc w:val="center"/>
              <w:rPr>
                <w:b/>
                <w:bCs/>
                <w:color w:val="FFFFFF" w:themeColor="background1"/>
              </w:rPr>
            </w:pPr>
            <w:r w:rsidRPr="00761F85">
              <w:rPr>
                <w:b/>
                <w:bCs/>
                <w:color w:val="FFFFFF" w:themeColor="background1"/>
              </w:rPr>
              <w:t>Key learning contexts</w:t>
            </w:r>
          </w:p>
        </w:tc>
      </w:tr>
      <w:tr w:rsidR="007A5F2C" w14:paraId="43218407" w14:textId="77777777" w:rsidTr="004560C4">
        <w:tc>
          <w:tcPr>
            <w:tcW w:w="3295" w:type="dxa"/>
            <w:tcBorders>
              <w:top w:val="single" w:sz="4" w:space="0" w:color="auto"/>
            </w:tcBorders>
          </w:tcPr>
          <w:p w14:paraId="57851F76" w14:textId="7963FF03" w:rsidR="007A5F2C" w:rsidRPr="007A5F2C" w:rsidRDefault="007A5F2C" w:rsidP="007A5F2C">
            <w:pPr>
              <w:pStyle w:val="Body"/>
              <w:rPr>
                <w:b/>
                <w:bCs/>
              </w:rPr>
            </w:pPr>
            <w:r w:rsidRPr="007A5F2C">
              <w:rPr>
                <w:b/>
                <w:bCs/>
              </w:rPr>
              <w:t>Questionnaire Design</w:t>
            </w:r>
          </w:p>
        </w:tc>
        <w:tc>
          <w:tcPr>
            <w:tcW w:w="3296" w:type="dxa"/>
            <w:tcBorders>
              <w:top w:val="single" w:sz="4" w:space="0" w:color="auto"/>
            </w:tcBorders>
            <w:shd w:val="clear" w:color="auto" w:fill="F7F7F7"/>
          </w:tcPr>
          <w:p w14:paraId="38A02F7F" w14:textId="77777777" w:rsidR="007A5F2C" w:rsidRDefault="000043BF" w:rsidP="007A5F2C">
            <w:pPr>
              <w:pStyle w:val="Body"/>
              <w:rPr>
                <w:rFonts w:eastAsia="Calibri" w:cs="Calibri"/>
              </w:rPr>
            </w:pPr>
            <w:hyperlink r:id="rId18">
              <w:r w:rsidR="007A5F2C">
                <w:rPr>
                  <w:rFonts w:eastAsia="Calibri" w:cs="Calibri"/>
                  <w:color w:val="1155CC"/>
                  <w:u w:val="single"/>
                </w:rPr>
                <w:t>AS91263 Design a questionnaire</w:t>
              </w:r>
            </w:hyperlink>
          </w:p>
          <w:p w14:paraId="1E5BEA7B" w14:textId="744ADB59" w:rsidR="007A5F2C" w:rsidRPr="00DD61B9" w:rsidRDefault="007A5F2C" w:rsidP="007A5F2C">
            <w:pPr>
              <w:pStyle w:val="Body"/>
            </w:pPr>
            <w:r>
              <w:rPr>
                <w:rFonts w:eastAsia="Calibri" w:cs="Calibri"/>
              </w:rPr>
              <w:t>3 credits</w:t>
            </w:r>
          </w:p>
        </w:tc>
        <w:tc>
          <w:tcPr>
            <w:tcW w:w="3296" w:type="dxa"/>
            <w:tcBorders>
              <w:top w:val="single" w:sz="4" w:space="0" w:color="auto"/>
            </w:tcBorders>
          </w:tcPr>
          <w:p w14:paraId="5200008E" w14:textId="77777777" w:rsidR="007A5F2C" w:rsidRDefault="007A5F2C" w:rsidP="007A5F2C">
            <w:pPr>
              <w:pStyle w:val="Body"/>
              <w:rPr>
                <w:rFonts w:eastAsia="Calibri" w:cs="Calibri"/>
              </w:rPr>
            </w:pPr>
            <w:r>
              <w:rPr>
                <w:rFonts w:eastAsia="Calibri" w:cs="Calibri"/>
              </w:rPr>
              <w:t>Savings</w:t>
            </w:r>
          </w:p>
          <w:p w14:paraId="65222F36" w14:textId="77777777" w:rsidR="007A5F2C" w:rsidRDefault="007A5F2C" w:rsidP="007A5F2C">
            <w:pPr>
              <w:pStyle w:val="Body"/>
              <w:rPr>
                <w:rFonts w:eastAsia="Calibri" w:cs="Calibri"/>
              </w:rPr>
            </w:pPr>
            <w:r>
              <w:rPr>
                <w:rFonts w:eastAsia="Calibri" w:cs="Calibri"/>
              </w:rPr>
              <w:t>KiwiSaver</w:t>
            </w:r>
          </w:p>
          <w:p w14:paraId="024B2372" w14:textId="6B7A0C79" w:rsidR="007A5F2C" w:rsidRPr="00DD61B9" w:rsidRDefault="007A5F2C" w:rsidP="007A5F2C">
            <w:pPr>
              <w:pStyle w:val="Body"/>
            </w:pPr>
            <w:r>
              <w:rPr>
                <w:rFonts w:eastAsia="Calibri" w:cs="Calibri"/>
              </w:rPr>
              <w:t>Investing</w:t>
            </w:r>
          </w:p>
        </w:tc>
        <w:tc>
          <w:tcPr>
            <w:tcW w:w="3296" w:type="dxa"/>
            <w:tcBorders>
              <w:top w:val="single" w:sz="4" w:space="0" w:color="auto"/>
            </w:tcBorders>
            <w:shd w:val="clear" w:color="auto" w:fill="F7F7F7"/>
          </w:tcPr>
          <w:p w14:paraId="01A5B01E" w14:textId="77777777" w:rsidR="007A5F2C" w:rsidRDefault="007A5F2C" w:rsidP="007A5F2C">
            <w:pPr>
              <w:pStyle w:val="Body"/>
              <w:rPr>
                <w:rFonts w:eastAsia="Calibri" w:cs="Calibri"/>
              </w:rPr>
            </w:pPr>
            <w:r>
              <w:rPr>
                <w:rFonts w:eastAsia="Calibri" w:cs="Calibri"/>
              </w:rPr>
              <w:t>Financial identity</w:t>
            </w:r>
          </w:p>
          <w:p w14:paraId="179B7D45" w14:textId="4C621F74" w:rsidR="007A5F2C" w:rsidRPr="00DD61B9" w:rsidRDefault="007A5F2C" w:rsidP="007A5F2C">
            <w:pPr>
              <w:pStyle w:val="Body"/>
            </w:pPr>
            <w:r>
              <w:rPr>
                <w:rFonts w:eastAsia="Calibri" w:cs="Calibri"/>
              </w:rPr>
              <w:t>Māori identity and financial attitudes</w:t>
            </w:r>
          </w:p>
        </w:tc>
      </w:tr>
      <w:tr w:rsidR="007A5F2C" w14:paraId="495C134E" w14:textId="77777777" w:rsidTr="004560C4">
        <w:trPr>
          <w:trHeight w:val="1201"/>
        </w:trPr>
        <w:tc>
          <w:tcPr>
            <w:tcW w:w="13183" w:type="dxa"/>
            <w:gridSpan w:val="4"/>
          </w:tcPr>
          <w:p w14:paraId="57B4CE80" w14:textId="77777777" w:rsidR="007A5F2C" w:rsidRPr="007A5F2C" w:rsidRDefault="007A5F2C" w:rsidP="007A5F2C">
            <w:pPr>
              <w:pStyle w:val="Body"/>
              <w:rPr>
                <w:b/>
                <w:bCs/>
              </w:rPr>
            </w:pPr>
            <w:r w:rsidRPr="007A5F2C">
              <w:rPr>
                <w:b/>
                <w:bCs/>
              </w:rPr>
              <w:t>Topics</w:t>
            </w:r>
          </w:p>
          <w:p w14:paraId="4E62DCFD" w14:textId="77777777" w:rsidR="007A5F2C" w:rsidRPr="007A5F2C" w:rsidRDefault="007A5F2C" w:rsidP="007B3913">
            <w:pPr>
              <w:pStyle w:val="Body"/>
              <w:ind w:left="720"/>
              <w:rPr>
                <w:b/>
                <w:bCs/>
              </w:rPr>
            </w:pPr>
            <w:r w:rsidRPr="007A5F2C">
              <w:rPr>
                <w:b/>
                <w:bCs/>
              </w:rPr>
              <w:t>The purpose and audience of questionnaires</w:t>
            </w:r>
          </w:p>
          <w:p w14:paraId="41C4C39B" w14:textId="77777777" w:rsidR="007A5F2C" w:rsidRDefault="007A5F2C" w:rsidP="007B3913">
            <w:pPr>
              <w:pStyle w:val="Body"/>
              <w:ind w:left="720"/>
            </w:pPr>
            <w:r>
              <w:t>Why questionnaires are a useful tool for gathering data, surveys and the PPDAC statistical enquiry cycle, defining the purpose and audience of a questionnaire.</w:t>
            </w:r>
          </w:p>
          <w:p w14:paraId="3490E827" w14:textId="77777777" w:rsidR="007A5F2C" w:rsidRPr="007A5F2C" w:rsidRDefault="007A5F2C" w:rsidP="007B3913">
            <w:pPr>
              <w:pStyle w:val="Body"/>
              <w:ind w:left="720"/>
              <w:rPr>
                <w:b/>
                <w:bCs/>
              </w:rPr>
            </w:pPr>
            <w:r w:rsidRPr="007A5F2C">
              <w:rPr>
                <w:b/>
                <w:bCs/>
              </w:rPr>
              <w:t>Defining the target and sample populations</w:t>
            </w:r>
          </w:p>
          <w:p w14:paraId="3626E7A7" w14:textId="77777777" w:rsidR="007A5F2C" w:rsidRDefault="007A5F2C" w:rsidP="007B3913">
            <w:pPr>
              <w:pStyle w:val="Body"/>
              <w:ind w:left="720"/>
            </w:pPr>
            <w:r>
              <w:t>Defining the target population, census versus sample, sample population, sampling frames, and statistical errors (sampling and non-sampling).</w:t>
            </w:r>
          </w:p>
          <w:p w14:paraId="0D91B016" w14:textId="77777777" w:rsidR="007A5F2C" w:rsidRPr="007A5F2C" w:rsidRDefault="007A5F2C" w:rsidP="007B3913">
            <w:pPr>
              <w:pStyle w:val="Body"/>
              <w:ind w:left="720"/>
              <w:rPr>
                <w:b/>
                <w:bCs/>
              </w:rPr>
            </w:pPr>
            <w:r w:rsidRPr="007A5F2C">
              <w:rPr>
                <w:b/>
                <w:bCs/>
              </w:rPr>
              <w:t>Ethical considerations when creating a questionnaire</w:t>
            </w:r>
          </w:p>
          <w:p w14:paraId="291CFB3C" w14:textId="77777777" w:rsidR="007A5F2C" w:rsidRDefault="007A5F2C" w:rsidP="007B3913">
            <w:pPr>
              <w:pStyle w:val="Body"/>
              <w:ind w:left="720"/>
            </w:pPr>
            <w:r>
              <w:t>Meeting ethical standards when designing a questionnaire, transparency, privacy, inclusion, and informed consent.</w:t>
            </w:r>
          </w:p>
          <w:p w14:paraId="57DEEBF6" w14:textId="77777777" w:rsidR="007A5F2C" w:rsidRPr="007A5F2C" w:rsidRDefault="007A5F2C" w:rsidP="007B3913">
            <w:pPr>
              <w:pStyle w:val="Body"/>
              <w:ind w:left="720"/>
              <w:rPr>
                <w:b/>
                <w:bCs/>
              </w:rPr>
            </w:pPr>
            <w:r w:rsidRPr="007A5F2C">
              <w:rPr>
                <w:b/>
                <w:bCs/>
              </w:rPr>
              <w:t>Question types</w:t>
            </w:r>
          </w:p>
          <w:p w14:paraId="1E0F1AEE" w14:textId="77777777" w:rsidR="007A5F2C" w:rsidRDefault="007A5F2C" w:rsidP="007B3913">
            <w:pPr>
              <w:pStyle w:val="Body"/>
              <w:ind w:left="720"/>
            </w:pPr>
            <w:r>
              <w:t>Closed question types including multiple choice, rating scales, and Likert scales; open question types including word association, and sentence completion.</w:t>
            </w:r>
          </w:p>
          <w:p w14:paraId="4488D8C7" w14:textId="77777777" w:rsidR="007A5F2C" w:rsidRPr="007A5F2C" w:rsidRDefault="007A5F2C" w:rsidP="007B3913">
            <w:pPr>
              <w:pStyle w:val="Body"/>
              <w:ind w:left="720"/>
              <w:rPr>
                <w:b/>
                <w:bCs/>
              </w:rPr>
            </w:pPr>
            <w:r w:rsidRPr="007A5F2C">
              <w:rPr>
                <w:b/>
                <w:bCs/>
              </w:rPr>
              <w:t>The importance of good question design</w:t>
            </w:r>
          </w:p>
          <w:p w14:paraId="50F12C99" w14:textId="77777777" w:rsidR="007A5F2C" w:rsidRDefault="007A5F2C" w:rsidP="007B3913">
            <w:pPr>
              <w:pStyle w:val="Body"/>
              <w:ind w:left="720"/>
            </w:pPr>
            <w:r>
              <w:t>Linking questions to the purpose, using simple language, and formatting tips.</w:t>
            </w:r>
          </w:p>
          <w:p w14:paraId="4F48CF69" w14:textId="77777777" w:rsidR="007A5F2C" w:rsidRPr="007A5F2C" w:rsidRDefault="007A5F2C" w:rsidP="007B3913">
            <w:pPr>
              <w:pStyle w:val="Body"/>
              <w:ind w:left="720"/>
              <w:rPr>
                <w:b/>
                <w:bCs/>
              </w:rPr>
            </w:pPr>
            <w:r w:rsidRPr="007A5F2C">
              <w:rPr>
                <w:b/>
                <w:bCs/>
              </w:rPr>
              <w:lastRenderedPageBreak/>
              <w:t>Structuring your questionnaire</w:t>
            </w:r>
          </w:p>
          <w:p w14:paraId="3749C337" w14:textId="77777777" w:rsidR="007A5F2C" w:rsidRDefault="007A5F2C" w:rsidP="007B3913">
            <w:pPr>
              <w:pStyle w:val="Body"/>
              <w:ind w:left="720"/>
            </w:pPr>
            <w:r>
              <w:t xml:space="preserve">Components of a questionnaire </w:t>
            </w:r>
            <w:proofErr w:type="gramStart"/>
            <w:r>
              <w:t>including:</w:t>
            </w:r>
            <w:proofErr w:type="gramEnd"/>
            <w:r>
              <w:t xml:space="preserve"> title, introduction, instructions, order, formatting, feedback, and saying thanks.</w:t>
            </w:r>
          </w:p>
          <w:p w14:paraId="23D2E72E" w14:textId="77777777" w:rsidR="007A5F2C" w:rsidRPr="007A5F2C" w:rsidRDefault="007A5F2C" w:rsidP="007B3913">
            <w:pPr>
              <w:pStyle w:val="Body"/>
              <w:ind w:left="720"/>
              <w:rPr>
                <w:b/>
                <w:bCs/>
              </w:rPr>
            </w:pPr>
            <w:r w:rsidRPr="007A5F2C">
              <w:rPr>
                <w:b/>
                <w:bCs/>
              </w:rPr>
              <w:t>Doing a desk review</w:t>
            </w:r>
          </w:p>
          <w:p w14:paraId="6CFB8D26" w14:textId="77777777" w:rsidR="007A5F2C" w:rsidRDefault="007A5F2C" w:rsidP="007B3913">
            <w:pPr>
              <w:pStyle w:val="Body"/>
              <w:ind w:left="720"/>
            </w:pPr>
            <w:r>
              <w:t>Checking the wording, format, and questions of your draft questionnaire.</w:t>
            </w:r>
          </w:p>
          <w:p w14:paraId="0962E8EA" w14:textId="77777777" w:rsidR="007A5F2C" w:rsidRPr="007A5F2C" w:rsidRDefault="007A5F2C" w:rsidP="007B3913">
            <w:pPr>
              <w:pStyle w:val="Body"/>
              <w:ind w:left="720"/>
              <w:rPr>
                <w:b/>
                <w:bCs/>
              </w:rPr>
            </w:pPr>
            <w:r w:rsidRPr="007A5F2C">
              <w:rPr>
                <w:b/>
                <w:bCs/>
              </w:rPr>
              <w:t>Doing a pilot survey</w:t>
            </w:r>
          </w:p>
          <w:p w14:paraId="328E0118" w14:textId="77777777" w:rsidR="007A5F2C" w:rsidRDefault="007A5F2C" w:rsidP="007B3913">
            <w:pPr>
              <w:pStyle w:val="Body"/>
              <w:ind w:left="720"/>
            </w:pPr>
            <w:r>
              <w:t>The purpose of pilot surveys, and approaches to getting feedback.</w:t>
            </w:r>
          </w:p>
          <w:p w14:paraId="0CCCD661" w14:textId="77777777" w:rsidR="007A5F2C" w:rsidRPr="007A5F2C" w:rsidRDefault="007A5F2C" w:rsidP="007B3913">
            <w:pPr>
              <w:pStyle w:val="Body"/>
              <w:ind w:left="720"/>
              <w:rPr>
                <w:b/>
                <w:bCs/>
              </w:rPr>
            </w:pPr>
            <w:r w:rsidRPr="007A5F2C">
              <w:rPr>
                <w:b/>
                <w:bCs/>
              </w:rPr>
              <w:t>Reflecting on the process</w:t>
            </w:r>
          </w:p>
          <w:p w14:paraId="34F8D6FA" w14:textId="294906DB" w:rsidR="007A5F2C" w:rsidRPr="00DD61B9" w:rsidRDefault="007A5F2C" w:rsidP="007B3913">
            <w:pPr>
              <w:pStyle w:val="Body"/>
              <w:ind w:left="720"/>
            </w:pPr>
            <w:r>
              <w:t>How to evaluate your questionnaire design and process.</w:t>
            </w:r>
          </w:p>
        </w:tc>
      </w:tr>
    </w:tbl>
    <w:p w14:paraId="14C36528" w14:textId="77777777" w:rsidR="009D77BB" w:rsidRDefault="009D77BB"/>
    <w:sectPr w:rsidR="009D77BB" w:rsidSect="004560C4">
      <w:headerReference w:type="default" r:id="rId19"/>
      <w:pgSz w:w="16840" w:h="11900" w:orient="landscape"/>
      <w:pgMar w:top="1776" w:right="1440" w:bottom="1440" w:left="20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8F766" w14:textId="77777777" w:rsidR="000043BF" w:rsidRDefault="000043BF" w:rsidP="00052E30">
      <w:pPr>
        <w:spacing w:after="0" w:line="240" w:lineRule="auto"/>
      </w:pPr>
      <w:r>
        <w:separator/>
      </w:r>
    </w:p>
  </w:endnote>
  <w:endnote w:type="continuationSeparator" w:id="0">
    <w:p w14:paraId="3097DAAE" w14:textId="77777777" w:rsidR="000043BF" w:rsidRDefault="000043BF" w:rsidP="00052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6996194"/>
      <w:docPartObj>
        <w:docPartGallery w:val="Page Numbers (Bottom of Page)"/>
        <w:docPartUnique/>
      </w:docPartObj>
    </w:sdtPr>
    <w:sdtEndPr>
      <w:rPr>
        <w:rStyle w:val="PageNumber"/>
      </w:rPr>
    </w:sdtEndPr>
    <w:sdtContent>
      <w:p w14:paraId="65BF6C99" w14:textId="10EA7532" w:rsidR="00052E30" w:rsidRDefault="00052E30" w:rsidP="007478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55487173"/>
      <w:docPartObj>
        <w:docPartGallery w:val="Page Numbers (Bottom of Page)"/>
        <w:docPartUnique/>
      </w:docPartObj>
    </w:sdtPr>
    <w:sdtEndPr>
      <w:rPr>
        <w:rStyle w:val="PageNumber"/>
      </w:rPr>
    </w:sdtEndPr>
    <w:sdtContent>
      <w:p w14:paraId="54B943AF" w14:textId="10323D7B" w:rsidR="00052E30" w:rsidRDefault="00052E30" w:rsidP="00052E3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34528475"/>
      <w:docPartObj>
        <w:docPartGallery w:val="Page Numbers (Bottom of Page)"/>
        <w:docPartUnique/>
      </w:docPartObj>
    </w:sdtPr>
    <w:sdtEndPr>
      <w:rPr>
        <w:rStyle w:val="PageNumber"/>
      </w:rPr>
    </w:sdtEndPr>
    <w:sdtContent>
      <w:p w14:paraId="7F2E1BC2" w14:textId="424EE12F" w:rsidR="00052E30" w:rsidRDefault="00052E30" w:rsidP="00052E3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B02FCC" w14:textId="77777777" w:rsidR="00052E30" w:rsidRDefault="00052E30" w:rsidP="00052E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853BA" w14:textId="0AD63B02" w:rsidR="00847464" w:rsidRPr="00847464" w:rsidRDefault="00847464" w:rsidP="00052E30">
    <w:pPr>
      <w:pStyle w:val="Footer"/>
      <w:pBdr>
        <w:bottom w:val="single" w:sz="6" w:space="1" w:color="auto"/>
      </w:pBdr>
      <w:rPr>
        <w:color w:val="2C2C2C"/>
        <w:sz w:val="16"/>
        <w:szCs w:val="16"/>
      </w:rPr>
    </w:pPr>
  </w:p>
  <w:p w14:paraId="4C388BC3" w14:textId="6FEFC18B" w:rsidR="00052E30" w:rsidRPr="00052E30" w:rsidRDefault="000043BF" w:rsidP="00052E30">
    <w:pPr>
      <w:pStyle w:val="Footer"/>
      <w:rPr>
        <w:b/>
        <w:bCs/>
      </w:rPr>
    </w:pPr>
    <w:hyperlink r:id="rId1" w:history="1">
      <w:r w:rsidR="00052E30" w:rsidRPr="008E56CD">
        <w:rPr>
          <w:rStyle w:val="Hyperlink"/>
          <w:sz w:val="18"/>
          <w:szCs w:val="18"/>
        </w:rPr>
        <w:t>© Commission for Financial Capability</w:t>
      </w:r>
      <w:r w:rsidR="00535FD3" w:rsidRPr="008E56CD">
        <w:rPr>
          <w:rStyle w:val="Hyperlink"/>
          <w:sz w:val="18"/>
          <w:szCs w:val="18"/>
        </w:rPr>
        <w:t xml:space="preserve"> 2020</w:t>
      </w:r>
    </w:hyperlink>
    <w:r w:rsidR="00052E30" w:rsidRPr="00052E30">
      <w:rPr>
        <w:b/>
        <w:bCs/>
        <w:color w:val="502974"/>
        <w:sz w:val="24"/>
        <w:szCs w:val="24"/>
      </w:rPr>
      <w:ptab w:relativeTo="margin" w:alignment="center" w:leader="none"/>
    </w:r>
    <w:r w:rsidR="00052E30" w:rsidRPr="00F34DF8">
      <w:rPr>
        <w:b/>
        <w:bCs/>
        <w:color w:val="2C2C2C"/>
        <w:sz w:val="18"/>
        <w:szCs w:val="18"/>
      </w:rPr>
      <w:t>sortedinschools.org.nz</w:t>
    </w:r>
    <w:r w:rsidR="00052E30" w:rsidRPr="00052E30">
      <w:rPr>
        <w:b/>
        <w:bCs/>
        <w:color w:val="502974"/>
        <w:sz w:val="24"/>
        <w:szCs w:val="24"/>
      </w:rPr>
      <w:ptab w:relativeTo="margin" w:alignment="right" w:leader="none"/>
    </w:r>
    <w:r w:rsidR="00052E30" w:rsidRPr="00DD61B9">
      <w:rPr>
        <w:rStyle w:val="PageNumber"/>
      </w:rPr>
      <w:t xml:space="preserve"> </w:t>
    </w:r>
    <w:sdt>
      <w:sdtPr>
        <w:rPr>
          <w:rStyle w:val="PageNumber"/>
          <w:color w:val="FF6E32"/>
        </w:rPr>
        <w:id w:val="993532747"/>
        <w:docPartObj>
          <w:docPartGallery w:val="Page Numbers (Bottom of Page)"/>
          <w:docPartUnique/>
        </w:docPartObj>
      </w:sdtPr>
      <w:sdtEndPr>
        <w:rPr>
          <w:rStyle w:val="PageNumber"/>
          <w:b/>
          <w:bCs/>
        </w:rPr>
      </w:sdtEndPr>
      <w:sdtContent>
        <w:r w:rsidR="00052E30" w:rsidRPr="00DD61B9">
          <w:rPr>
            <w:rStyle w:val="PageNumber"/>
            <w:b/>
            <w:bCs/>
            <w:color w:val="FF6E32"/>
          </w:rPr>
          <w:fldChar w:fldCharType="begin"/>
        </w:r>
        <w:r w:rsidR="00052E30" w:rsidRPr="00DD61B9">
          <w:rPr>
            <w:rStyle w:val="PageNumber"/>
            <w:b/>
            <w:bCs/>
            <w:color w:val="FF6E32"/>
          </w:rPr>
          <w:instrText xml:space="preserve"> PAGE </w:instrText>
        </w:r>
        <w:r w:rsidR="00052E30" w:rsidRPr="00DD61B9">
          <w:rPr>
            <w:rStyle w:val="PageNumber"/>
            <w:b/>
            <w:bCs/>
            <w:color w:val="FF6E32"/>
          </w:rPr>
          <w:fldChar w:fldCharType="separate"/>
        </w:r>
        <w:r w:rsidR="00052E30" w:rsidRPr="00DD61B9">
          <w:rPr>
            <w:rStyle w:val="PageNumber"/>
            <w:b/>
            <w:bCs/>
            <w:color w:val="FF6E32"/>
          </w:rPr>
          <w:t>1</w:t>
        </w:r>
        <w:r w:rsidR="00052E30" w:rsidRPr="00DD61B9">
          <w:rPr>
            <w:rStyle w:val="PageNumber"/>
            <w:b/>
            <w:bCs/>
            <w:color w:val="FF6E3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447B1" w14:textId="77777777" w:rsidR="000043BF" w:rsidRDefault="000043BF" w:rsidP="00052E30">
      <w:pPr>
        <w:spacing w:after="0" w:line="240" w:lineRule="auto"/>
      </w:pPr>
      <w:r>
        <w:separator/>
      </w:r>
    </w:p>
  </w:footnote>
  <w:footnote w:type="continuationSeparator" w:id="0">
    <w:p w14:paraId="63E67EBA" w14:textId="77777777" w:rsidR="000043BF" w:rsidRDefault="000043BF" w:rsidP="00052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B6EDF" w14:textId="77777777" w:rsidR="00052E30" w:rsidRDefault="00052E30">
    <w:pPr>
      <w:pStyle w:val="Header"/>
    </w:pPr>
    <w:r>
      <w:rPr>
        <w:noProof/>
      </w:rPr>
      <w:drawing>
        <wp:anchor distT="0" distB="0" distL="114300" distR="114300" simplePos="0" relativeHeight="251659264" behindDoc="1" locked="0" layoutInCell="1" allowOverlap="1" wp14:anchorId="074482A5" wp14:editId="2052D5F4">
          <wp:simplePos x="0" y="0"/>
          <wp:positionH relativeFrom="column">
            <wp:posOffset>-860425</wp:posOffset>
          </wp:positionH>
          <wp:positionV relativeFrom="paragraph">
            <wp:posOffset>-357974</wp:posOffset>
          </wp:positionV>
          <wp:extent cx="7436498" cy="1049551"/>
          <wp:effectExtent l="0" t="0" r="0" b="508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 - Word Template_V1.png"/>
                  <pic:cNvPicPr/>
                </pic:nvPicPr>
                <pic:blipFill>
                  <a:blip r:embed="rId1">
                    <a:extLst>
                      <a:ext uri="{28A0092B-C50C-407E-A947-70E740481C1C}">
                        <a14:useLocalDpi xmlns:a14="http://schemas.microsoft.com/office/drawing/2010/main" val="0"/>
                      </a:ext>
                    </a:extLst>
                  </a:blip>
                  <a:stretch>
                    <a:fillRect/>
                  </a:stretch>
                </pic:blipFill>
                <pic:spPr>
                  <a:xfrm>
                    <a:off x="0" y="0"/>
                    <a:ext cx="7436498" cy="104955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62BFF" w14:textId="2DA84147" w:rsidR="007B3913" w:rsidRDefault="007B3913">
    <w:pPr>
      <w:pStyle w:val="Header"/>
    </w:pPr>
    <w:r>
      <w:rPr>
        <w:noProof/>
      </w:rPr>
      <w:drawing>
        <wp:anchor distT="0" distB="0" distL="114300" distR="114300" simplePos="0" relativeHeight="251661312" behindDoc="1" locked="0" layoutInCell="1" allowOverlap="1" wp14:anchorId="2ADD17F0" wp14:editId="2DCC6E18">
          <wp:simplePos x="0" y="0"/>
          <wp:positionH relativeFrom="column">
            <wp:posOffset>-1138686</wp:posOffset>
          </wp:positionH>
          <wp:positionV relativeFrom="paragraph">
            <wp:posOffset>-371571</wp:posOffset>
          </wp:positionV>
          <wp:extent cx="10641633" cy="1061546"/>
          <wp:effectExtent l="0" t="0" r="127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S - Word Template_V13.png"/>
                  <pic:cNvPicPr/>
                </pic:nvPicPr>
                <pic:blipFill>
                  <a:blip r:embed="rId1">
                    <a:extLst>
                      <a:ext uri="{28A0092B-C50C-407E-A947-70E740481C1C}">
                        <a14:useLocalDpi xmlns:a14="http://schemas.microsoft.com/office/drawing/2010/main" val="0"/>
                      </a:ext>
                    </a:extLst>
                  </a:blip>
                  <a:stretch>
                    <a:fillRect/>
                  </a:stretch>
                </pic:blipFill>
                <pic:spPr>
                  <a:xfrm>
                    <a:off x="0" y="0"/>
                    <a:ext cx="10641633" cy="10615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163A7"/>
    <w:multiLevelType w:val="hybridMultilevel"/>
    <w:tmpl w:val="F470F22A"/>
    <w:lvl w:ilvl="0" w:tplc="B8C4A78E">
      <w:start w:val="1"/>
      <w:numFmt w:val="bullet"/>
      <w:pStyle w:val="BulletList"/>
      <w:lvlText w:val=""/>
      <w:lvlJc w:val="left"/>
      <w:pPr>
        <w:ind w:left="720" w:hanging="360"/>
      </w:pPr>
      <w:rPr>
        <w:rFonts w:ascii="Wingdings" w:hAnsi="Wingdings" w:hint="default"/>
        <w:color w:val="50297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793E10"/>
    <w:multiLevelType w:val="hybridMultilevel"/>
    <w:tmpl w:val="E57C5936"/>
    <w:lvl w:ilvl="0" w:tplc="E6E0A402">
      <w:start w:val="1"/>
      <w:numFmt w:val="decimal"/>
      <w:pStyle w:val="NumberList"/>
      <w:lvlText w:val="%1."/>
      <w:lvlJc w:val="left"/>
      <w:pPr>
        <w:ind w:left="720" w:hanging="360"/>
      </w:pPr>
      <w:rPr>
        <w:rFonts w:asciiTheme="majorHAnsi" w:hAnsiTheme="majorHAnsi" w:hint="default"/>
        <w:b/>
        <w:i w:val="0"/>
        <w:color w:val="FF6E3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6F7EA9"/>
    <w:multiLevelType w:val="hybridMultilevel"/>
    <w:tmpl w:val="00A2B73E"/>
    <w:lvl w:ilvl="0" w:tplc="8482F208">
      <w:start w:val="1"/>
      <w:numFmt w:val="bullet"/>
      <w:lvlText w:val=""/>
      <w:lvlJc w:val="left"/>
      <w:pPr>
        <w:ind w:left="720" w:hanging="360"/>
      </w:pPr>
      <w:rPr>
        <w:rFonts w:ascii="Symbol" w:hAnsi="Symbol" w:hint="default"/>
        <w:color w:val="FF6E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E30"/>
    <w:rsid w:val="000043BF"/>
    <w:rsid w:val="00052E30"/>
    <w:rsid w:val="00176A65"/>
    <w:rsid w:val="00240BDD"/>
    <w:rsid w:val="00304E2F"/>
    <w:rsid w:val="004560C4"/>
    <w:rsid w:val="004D64F4"/>
    <w:rsid w:val="00535FD3"/>
    <w:rsid w:val="005A6CC2"/>
    <w:rsid w:val="006131E7"/>
    <w:rsid w:val="007A5F2C"/>
    <w:rsid w:val="007B3913"/>
    <w:rsid w:val="0083595F"/>
    <w:rsid w:val="00847464"/>
    <w:rsid w:val="008E56CD"/>
    <w:rsid w:val="009D77BB"/>
    <w:rsid w:val="00BE6873"/>
    <w:rsid w:val="00C1740B"/>
    <w:rsid w:val="00C72755"/>
    <w:rsid w:val="00D20A76"/>
    <w:rsid w:val="00D421C2"/>
    <w:rsid w:val="00DD61B9"/>
    <w:rsid w:val="00E2732A"/>
    <w:rsid w:val="00E75D75"/>
    <w:rsid w:val="00F34D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A5B03"/>
  <w15:chartTrackingRefBased/>
  <w15:docId w15:val="{7A26942A-4C15-414C-A1AD-0CE7A8DC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52E30"/>
    <w:pPr>
      <w:spacing w:after="180" w:line="274" w:lineRule="auto"/>
    </w:pPr>
    <w:rPr>
      <w:sz w:val="22"/>
      <w:szCs w:val="22"/>
      <w:lang w:val="en-US"/>
    </w:rPr>
  </w:style>
  <w:style w:type="paragraph" w:styleId="Heading1">
    <w:name w:val="heading 1"/>
    <w:basedOn w:val="Body"/>
    <w:next w:val="Normal"/>
    <w:link w:val="Heading1Char"/>
    <w:uiPriority w:val="9"/>
    <w:qFormat/>
    <w:rsid w:val="00052E30"/>
    <w:pPr>
      <w:outlineLvl w:val="0"/>
    </w:pPr>
    <w:rPr>
      <w:color w:val="F46E35"/>
      <w:sz w:val="48"/>
      <w:szCs w:val="48"/>
    </w:rPr>
  </w:style>
  <w:style w:type="paragraph" w:styleId="Heading2">
    <w:name w:val="heading 2"/>
    <w:basedOn w:val="Normal"/>
    <w:next w:val="Normal"/>
    <w:link w:val="Heading2Char"/>
    <w:uiPriority w:val="9"/>
    <w:semiHidden/>
    <w:unhideWhenUsed/>
    <w:qFormat/>
    <w:rsid w:val="00052E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iPriority w:val="9"/>
    <w:unhideWhenUsed/>
    <w:qFormat/>
    <w:rsid w:val="00052E30"/>
    <w:pPr>
      <w:keepNext w:val="0"/>
      <w:keepLines w:val="0"/>
      <w:spacing w:before="0" w:after="180"/>
      <w:outlineLvl w:val="2"/>
    </w:pPr>
    <w:rPr>
      <w:rFonts w:ascii="Calibri" w:eastAsiaTheme="minorHAnsi" w:hAnsi="Calibri" w:cstheme="minorBidi"/>
      <w:b/>
      <w:bCs/>
      <w:color w:val="3CD0E9"/>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E30"/>
    <w:pPr>
      <w:tabs>
        <w:tab w:val="center" w:pos="4513"/>
        <w:tab w:val="right" w:pos="9026"/>
      </w:tabs>
    </w:pPr>
  </w:style>
  <w:style w:type="character" w:customStyle="1" w:styleId="HeaderChar">
    <w:name w:val="Header Char"/>
    <w:basedOn w:val="DefaultParagraphFont"/>
    <w:link w:val="Header"/>
    <w:uiPriority w:val="99"/>
    <w:rsid w:val="00052E30"/>
  </w:style>
  <w:style w:type="paragraph" w:styleId="Footer">
    <w:name w:val="footer"/>
    <w:basedOn w:val="Normal"/>
    <w:link w:val="FooterChar"/>
    <w:uiPriority w:val="99"/>
    <w:unhideWhenUsed/>
    <w:rsid w:val="00052E30"/>
    <w:pPr>
      <w:tabs>
        <w:tab w:val="center" w:pos="4513"/>
        <w:tab w:val="right" w:pos="9026"/>
      </w:tabs>
    </w:pPr>
  </w:style>
  <w:style w:type="character" w:customStyle="1" w:styleId="FooterChar">
    <w:name w:val="Footer Char"/>
    <w:basedOn w:val="DefaultParagraphFont"/>
    <w:link w:val="Footer"/>
    <w:uiPriority w:val="99"/>
    <w:rsid w:val="00052E30"/>
  </w:style>
  <w:style w:type="character" w:customStyle="1" w:styleId="Heading1Char">
    <w:name w:val="Heading 1 Char"/>
    <w:basedOn w:val="DefaultParagraphFont"/>
    <w:link w:val="Heading1"/>
    <w:uiPriority w:val="9"/>
    <w:rsid w:val="00052E30"/>
    <w:rPr>
      <w:rFonts w:ascii="Calibri" w:hAnsi="Calibri"/>
      <w:color w:val="F46E35"/>
      <w:sz w:val="48"/>
      <w:szCs w:val="48"/>
      <w:lang w:val="en-GB"/>
    </w:rPr>
  </w:style>
  <w:style w:type="character" w:customStyle="1" w:styleId="Heading3Char">
    <w:name w:val="Heading 3 Char"/>
    <w:basedOn w:val="DefaultParagraphFont"/>
    <w:link w:val="Heading3"/>
    <w:uiPriority w:val="9"/>
    <w:rsid w:val="00052E30"/>
    <w:rPr>
      <w:rFonts w:ascii="Calibri" w:hAnsi="Calibri"/>
      <w:b/>
      <w:bCs/>
      <w:color w:val="3CD0E9"/>
      <w:lang w:val="en-GB"/>
    </w:rPr>
  </w:style>
  <w:style w:type="paragraph" w:customStyle="1" w:styleId="BulletList">
    <w:name w:val="Bullet List"/>
    <w:basedOn w:val="Body"/>
    <w:next w:val="Body"/>
    <w:qFormat/>
    <w:rsid w:val="00052E30"/>
    <w:pPr>
      <w:numPr>
        <w:numId w:val="1"/>
      </w:numPr>
      <w:spacing w:line="240" w:lineRule="auto"/>
    </w:pPr>
  </w:style>
  <w:style w:type="paragraph" w:customStyle="1" w:styleId="Body">
    <w:name w:val="Body"/>
    <w:basedOn w:val="Normal"/>
    <w:qFormat/>
    <w:rsid w:val="00052E30"/>
    <w:rPr>
      <w:rFonts w:ascii="Calibri" w:hAnsi="Calibri"/>
      <w:color w:val="2D2D2C"/>
      <w:sz w:val="20"/>
      <w:szCs w:val="20"/>
      <w:lang w:val="en-GB"/>
    </w:rPr>
  </w:style>
  <w:style w:type="paragraph" w:customStyle="1" w:styleId="NumberList">
    <w:name w:val="Number List"/>
    <w:basedOn w:val="BulletList"/>
    <w:qFormat/>
    <w:rsid w:val="00052E30"/>
    <w:pPr>
      <w:numPr>
        <w:numId w:val="3"/>
      </w:numPr>
    </w:pPr>
  </w:style>
  <w:style w:type="table" w:styleId="TableGrid">
    <w:name w:val="Table Grid"/>
    <w:basedOn w:val="TableNormal"/>
    <w:uiPriority w:val="39"/>
    <w:rsid w:val="00052E30"/>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Heading1"/>
    <w:qFormat/>
    <w:rsid w:val="00052E30"/>
    <w:rPr>
      <w:b/>
      <w:bCs/>
      <w:color w:val="502974"/>
      <w:sz w:val="32"/>
      <w:szCs w:val="32"/>
    </w:rPr>
  </w:style>
  <w:style w:type="character" w:customStyle="1" w:styleId="Heading2Char">
    <w:name w:val="Heading 2 Char"/>
    <w:basedOn w:val="DefaultParagraphFont"/>
    <w:link w:val="Heading2"/>
    <w:uiPriority w:val="9"/>
    <w:semiHidden/>
    <w:rsid w:val="00052E30"/>
    <w:rPr>
      <w:rFonts w:asciiTheme="majorHAnsi" w:eastAsiaTheme="majorEastAsia" w:hAnsiTheme="majorHAnsi" w:cstheme="majorBidi"/>
      <w:color w:val="2F5496" w:themeColor="accent1" w:themeShade="BF"/>
      <w:sz w:val="26"/>
      <w:szCs w:val="26"/>
      <w:lang w:val="en-US"/>
    </w:rPr>
  </w:style>
  <w:style w:type="character" w:styleId="PageNumber">
    <w:name w:val="page number"/>
    <w:basedOn w:val="DefaultParagraphFont"/>
    <w:uiPriority w:val="99"/>
    <w:semiHidden/>
    <w:unhideWhenUsed/>
    <w:rsid w:val="00052E30"/>
  </w:style>
  <w:style w:type="character" w:styleId="Hyperlink">
    <w:name w:val="Hyperlink"/>
    <w:basedOn w:val="DefaultParagraphFont"/>
    <w:uiPriority w:val="99"/>
    <w:unhideWhenUsed/>
    <w:rsid w:val="008E56CD"/>
    <w:rPr>
      <w:color w:val="0563C1" w:themeColor="hyperlink"/>
      <w:u w:val="single"/>
    </w:rPr>
  </w:style>
  <w:style w:type="character" w:styleId="UnresolvedMention">
    <w:name w:val="Unresolved Mention"/>
    <w:basedOn w:val="DefaultParagraphFont"/>
    <w:uiPriority w:val="99"/>
    <w:semiHidden/>
    <w:unhideWhenUsed/>
    <w:rsid w:val="008E56CD"/>
    <w:rPr>
      <w:color w:val="605E5C"/>
      <w:shd w:val="clear" w:color="auto" w:fill="E1DFDD"/>
    </w:rPr>
  </w:style>
  <w:style w:type="paragraph" w:styleId="Subtitle">
    <w:name w:val="Subtitle"/>
    <w:basedOn w:val="Normal"/>
    <w:next w:val="Normal"/>
    <w:link w:val="SubtitleChar"/>
    <w:uiPriority w:val="11"/>
    <w:qFormat/>
    <w:rsid w:val="007A5F2C"/>
    <w:pPr>
      <w:keepNext/>
      <w:keepLines/>
      <w:spacing w:after="320"/>
    </w:pPr>
    <w:rPr>
      <w:rFonts w:ascii="Arial" w:eastAsia="Arial" w:hAnsi="Arial" w:cs="Arial"/>
      <w:color w:val="666666"/>
      <w:sz w:val="30"/>
      <w:szCs w:val="30"/>
    </w:rPr>
  </w:style>
  <w:style w:type="character" w:customStyle="1" w:styleId="SubtitleChar">
    <w:name w:val="Subtitle Char"/>
    <w:basedOn w:val="DefaultParagraphFont"/>
    <w:link w:val="Subtitle"/>
    <w:uiPriority w:val="11"/>
    <w:rsid w:val="007A5F2C"/>
    <w:rPr>
      <w:rFonts w:ascii="Arial" w:eastAsia="Arial" w:hAnsi="Arial" w:cs="Arial"/>
      <w:color w:val="666666"/>
      <w:sz w:val="30"/>
      <w:szCs w:val="30"/>
      <w:lang w:val="en-US"/>
    </w:rPr>
  </w:style>
  <w:style w:type="character" w:styleId="SubtleEmphasis">
    <w:name w:val="Subtle Emphasis"/>
    <w:basedOn w:val="DefaultParagraphFont"/>
    <w:uiPriority w:val="19"/>
    <w:qFormat/>
    <w:rsid w:val="007A5F2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15882">
      <w:bodyDiv w:val="1"/>
      <w:marLeft w:val="0"/>
      <w:marRight w:val="0"/>
      <w:marTop w:val="0"/>
      <w:marBottom w:val="0"/>
      <w:divBdr>
        <w:top w:val="none" w:sz="0" w:space="0" w:color="auto"/>
        <w:left w:val="none" w:sz="0" w:space="0" w:color="auto"/>
        <w:bottom w:val="none" w:sz="0" w:space="0" w:color="auto"/>
        <w:right w:val="none" w:sz="0" w:space="0" w:color="auto"/>
      </w:divBdr>
    </w:div>
    <w:div w:id="764423152">
      <w:bodyDiv w:val="1"/>
      <w:marLeft w:val="0"/>
      <w:marRight w:val="0"/>
      <w:marTop w:val="0"/>
      <w:marBottom w:val="0"/>
      <w:divBdr>
        <w:top w:val="none" w:sz="0" w:space="0" w:color="auto"/>
        <w:left w:val="none" w:sz="0" w:space="0" w:color="auto"/>
        <w:bottom w:val="none" w:sz="0" w:space="0" w:color="auto"/>
        <w:right w:val="none" w:sz="0" w:space="0" w:color="auto"/>
      </w:divBdr>
    </w:div>
    <w:div w:id="787048534">
      <w:bodyDiv w:val="1"/>
      <w:marLeft w:val="0"/>
      <w:marRight w:val="0"/>
      <w:marTop w:val="0"/>
      <w:marBottom w:val="0"/>
      <w:divBdr>
        <w:top w:val="none" w:sz="0" w:space="0" w:color="auto"/>
        <w:left w:val="none" w:sz="0" w:space="0" w:color="auto"/>
        <w:bottom w:val="none" w:sz="0" w:space="0" w:color="auto"/>
        <w:right w:val="none" w:sz="0" w:space="0" w:color="auto"/>
      </w:divBdr>
    </w:div>
    <w:div w:id="161717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nzqa.govt.nz/ncea/assessment/view-detailed.do?standardNumber=91263"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nzqa.govt.nz/ncea/assessment/view-detailed.do?standardNumber=91226" TargetMode="External"/><Relationship Id="rId2" Type="http://schemas.openxmlformats.org/officeDocument/2006/relationships/customXml" Target="../customXml/item2.xml"/><Relationship Id="rId16" Type="http://schemas.openxmlformats.org/officeDocument/2006/relationships/hyperlink" Target="https://www.nzqa.govt.nz/ncea/assessment/view-detailed.do?standardNumber=9126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nzqa.govt.nz/ncea/assessment/view-detailed.do?standardNumber=91264"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zqa.govt.nz/ncea/assessment/view-detailed.do?standardNumber=91026"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ortedinschools.org.nz/copyrig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48FC2AAA50D245B853C3DA5160F14B" ma:contentTypeVersion="15" ma:contentTypeDescription="Create a new document." ma:contentTypeScope="" ma:versionID="9dd6ff81d98f5fc3acdee8c6cd9ef407">
  <xsd:schema xmlns:xsd="http://www.w3.org/2001/XMLSchema" xmlns:xs="http://www.w3.org/2001/XMLSchema" xmlns:p="http://schemas.microsoft.com/office/2006/metadata/properties" xmlns:ns2="eb794925-b352-4673-bcf2-bf7cbee4735f" targetNamespace="http://schemas.microsoft.com/office/2006/metadata/properties" ma:root="true" ma:fieldsID="957e3e269d6e6248695b00e1ebdef74d" ns2:_="">
    <xsd:import namespace="eb794925-b352-4673-bcf2-bf7cbee4735f"/>
    <xsd:element name="properties">
      <xsd:complexType>
        <xsd:sequence>
          <xsd:element name="documentManagement">
            <xsd:complexType>
              <xsd:all>
                <xsd:element ref="ns2:LearningProgramme"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Team" minOccurs="0"/>
                <xsd:element ref="ns2:Medium" minOccurs="0"/>
                <xsd:element ref="ns2:Product_x002f_Package" minOccurs="0"/>
                <xsd:element ref="ns2:Resourcetype" minOccurs="0"/>
                <xsd:element ref="ns2:Develop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94925-b352-4673-bcf2-bf7cbee4735f" elementFormDefault="qualified">
    <xsd:import namespace="http://schemas.microsoft.com/office/2006/documentManagement/types"/>
    <xsd:import namespace="http://schemas.microsoft.com/office/infopath/2007/PartnerControls"/>
    <xsd:element name="LearningProgramme" ma:index="8" nillable="true" ma:displayName="Learning Programme" ma:format="Dropdown" ma:internalName="LearningProgramme">
      <xsd:simpleType>
        <xsd:restriction base="dms:Choice">
          <xsd:enumeration value="Community"/>
          <xsd:enumeration value="Schools"/>
          <xsd:enumeration value="Work"/>
          <xsd:enumeration value="Sessions"/>
          <xsd:enumeration value="General"/>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Team" ma:index="17" nillable="true" ma:displayName="Team" ma:format="Dropdown" ma:internalName="Team">
      <xsd:simpleType>
        <xsd:restriction base="dms:Choice">
          <xsd:enumeration value="Delivery"/>
          <xsd:enumeration value="Development"/>
          <xsd:enumeration value="General"/>
        </xsd:restriction>
      </xsd:simpleType>
    </xsd:element>
    <xsd:element name="Medium" ma:index="18" nillable="true" ma:displayName="Medium" ma:format="Dropdown" ma:internalName="Medium">
      <xsd:simpleType>
        <xsd:restriction base="dms:Choice">
          <xsd:enumeration value="MME"/>
          <xsd:enumeration value="EME"/>
        </xsd:restriction>
      </xsd:simpleType>
    </xsd:element>
    <xsd:element name="Product_x002f_Package" ma:index="19" nillable="true" ma:displayName="Product/Package" ma:format="Dropdown" ma:internalName="Product_x002f_Package">
      <xsd:simpleType>
        <xsd:restriction base="dms:Choice">
          <xsd:enumeration value="Choice 1"/>
          <xsd:enumeration value="Choice 2"/>
          <xsd:enumeration value="Choice 3"/>
        </xsd:restriction>
      </xsd:simpleType>
    </xsd:element>
    <xsd:element name="Resourcetype" ma:index="21" nillable="true" ma:displayName="Resource type" ma:format="Dropdown" ma:internalName="Resourcetype">
      <xsd:simpleType>
        <xsd:restriction base="dms:Choice">
          <xsd:enumeration value="Assessment"/>
          <xsd:enumeration value="Certificate"/>
          <xsd:enumeration value="Discussion Starter"/>
          <xsd:enumeration value="Glossary"/>
          <xsd:enumeration value="Handout"/>
          <xsd:enumeration value="Poster"/>
          <xsd:enumeration value="Product feedback"/>
          <xsd:enumeration value="Product overview"/>
          <xsd:enumeration value="Research"/>
          <xsd:enumeration value="Student resources"/>
          <xsd:enumeration value="Teaching and learning plan"/>
          <xsd:enumeration value="Brochure"/>
        </xsd:restriction>
      </xsd:simpleType>
    </xsd:element>
    <xsd:element name="Developmenttype" ma:index="22" nillable="true" ma:displayName="Development type" ma:format="Dropdown" ma:internalName="Developmenttype">
      <xsd:simpleType>
        <xsd:restriction base="dms:Choice">
          <xsd:enumeration value="Achievement Standard"/>
          <xsd:enumeration value="Unit Standard"/>
          <xsd:enumeration value="Interactive"/>
          <xsd:enumeration value="Resource - info"/>
          <xsd:enumeration value="Resource – activity"/>
          <xsd:enumeration value="Graphic"/>
          <xsd:enumeration value="Vide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duct_x002f_Package xmlns="eb794925-b352-4673-bcf2-bf7cbee4735f" xsi:nil="true"/>
    <Medium xmlns="eb794925-b352-4673-bcf2-bf7cbee4735f">EME</Medium>
    <LearningProgramme xmlns="eb794925-b352-4673-bcf2-bf7cbee4735f">Schools</LearningProgramme>
    <Team xmlns="eb794925-b352-4673-bcf2-bf7cbee4735f">Development</Team>
    <Developmenttype xmlns="eb794925-b352-4673-bcf2-bf7cbee4735f">Achievement Standard</Developmenttype>
    <Resourcetype xmlns="eb794925-b352-4673-bcf2-bf7cbee4735f">Teaching and learning plan</Resourcetype>
  </documentManagement>
</p:properties>
</file>

<file path=customXml/itemProps1.xml><?xml version="1.0" encoding="utf-8"?>
<ds:datastoreItem xmlns:ds="http://schemas.openxmlformats.org/officeDocument/2006/customXml" ds:itemID="{73A37611-EF6A-4854-98C2-4FAB3404E473}">
  <ds:schemaRefs>
    <ds:schemaRef ds:uri="http://schemas.microsoft.com/sharepoint/v3/contenttype/forms"/>
  </ds:schemaRefs>
</ds:datastoreItem>
</file>

<file path=customXml/itemProps2.xml><?xml version="1.0" encoding="utf-8"?>
<ds:datastoreItem xmlns:ds="http://schemas.openxmlformats.org/officeDocument/2006/customXml" ds:itemID="{D4B9606C-65DC-43B1-B9EA-9B013BCF46B5}"/>
</file>

<file path=customXml/itemProps3.xml><?xml version="1.0" encoding="utf-8"?>
<ds:datastoreItem xmlns:ds="http://schemas.openxmlformats.org/officeDocument/2006/customXml" ds:itemID="{862E927E-FF45-476B-93EE-A4DC874CD06E}">
  <ds:schemaRefs>
    <ds:schemaRef ds:uri="http://schemas.microsoft.com/office/2006/metadata/properties"/>
    <ds:schemaRef ds:uri="http://schemas.microsoft.com/office/infopath/2007/PartnerControls"/>
    <ds:schemaRef ds:uri="cdf7e5e6-a72e-40b5-be2c-61fd99f1e98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 91026;#AS 91226;#AS 91263;#AS 91264;#AS 91266;#</dc:subject>
  <dc:creator>Felicity Weller</dc:creator>
  <cp:keywords/>
  <dc:description/>
  <cp:lastModifiedBy>Clive Francis</cp:lastModifiedBy>
  <cp:revision>4</cp:revision>
  <dcterms:created xsi:type="dcterms:W3CDTF">2021-02-04T02:51:00Z</dcterms:created>
  <dcterms:modified xsi:type="dcterms:W3CDTF">2021-02-04T23:55:00Z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0x0101002548FC2AAA50D245B853C3DA5160F14B</vt:lpwstr>
  </property>
</Properties>
</file>