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6A770E" w14:textId="4BECE0AF" w:rsidR="00166C0C" w:rsidRPr="00666C0A" w:rsidRDefault="0092362C">
      <w:pPr>
        <w:pStyle w:val="Heading1"/>
        <w:rPr>
          <w:rFonts w:ascii="Calibri" w:eastAsia="Calibri" w:hAnsi="Calibri" w:cs="Calibri"/>
          <w:b/>
          <w:color w:val="502A75"/>
          <w:w w:val="95"/>
          <w:sz w:val="24"/>
          <w:szCs w:val="24"/>
          <w:lang w:val="en-NZ" w:eastAsia="en-US"/>
        </w:rPr>
      </w:pPr>
      <w:bookmarkStart w:id="0" w:name="_553qfabosn4y" w:colFirst="0" w:colLast="0"/>
      <w:bookmarkEnd w:id="0"/>
      <w:r w:rsidRPr="00666C0A">
        <w:rPr>
          <w:rFonts w:ascii="Calibri" w:eastAsia="Calibri" w:hAnsi="Calibri" w:cs="Calibri"/>
          <w:b/>
          <w:color w:val="502A75"/>
          <w:w w:val="95"/>
          <w:sz w:val="24"/>
          <w:szCs w:val="24"/>
          <w:lang w:val="en-NZ" w:eastAsia="en-US"/>
        </w:rPr>
        <w:t xml:space="preserve">Exploring financial </w:t>
      </w:r>
      <w:r w:rsidR="009C4862">
        <w:rPr>
          <w:rFonts w:ascii="Calibri" w:eastAsia="Calibri" w:hAnsi="Calibri" w:cs="Calibri"/>
          <w:b/>
          <w:color w:val="502A75"/>
          <w:w w:val="95"/>
          <w:sz w:val="24"/>
          <w:szCs w:val="24"/>
          <w:lang w:val="en-NZ" w:eastAsia="en-US"/>
        </w:rPr>
        <w:t>sustainability</w:t>
      </w:r>
      <w:r w:rsidRPr="00666C0A">
        <w:rPr>
          <w:rFonts w:ascii="Calibri" w:eastAsia="Calibri" w:hAnsi="Calibri" w:cs="Calibri"/>
          <w:b/>
          <w:color w:val="502A75"/>
          <w:w w:val="95"/>
          <w:sz w:val="24"/>
          <w:szCs w:val="24"/>
          <w:lang w:val="en-NZ" w:eastAsia="en-US"/>
        </w:rPr>
        <w:t xml:space="preserve"> through </w:t>
      </w:r>
      <w:r w:rsidR="009C4862">
        <w:rPr>
          <w:rFonts w:ascii="Calibri" w:eastAsia="Calibri" w:hAnsi="Calibri" w:cs="Calibri"/>
          <w:b/>
          <w:color w:val="502A75"/>
          <w:w w:val="95"/>
          <w:sz w:val="24"/>
          <w:szCs w:val="24"/>
          <w:lang w:val="en-NZ" w:eastAsia="en-US"/>
        </w:rPr>
        <w:t>Mathematics and Statistics</w:t>
      </w:r>
    </w:p>
    <w:p w14:paraId="09A9197B" w14:textId="6AD7619D" w:rsidR="00DB0036" w:rsidRPr="008D2417" w:rsidRDefault="00DB0036" w:rsidP="00DB0036">
      <w:pPr>
        <w:rPr>
          <w:rFonts w:asciiTheme="majorHAnsi" w:eastAsia="Century Gothic" w:hAnsiTheme="majorHAnsi" w:cstheme="majorHAnsi"/>
          <w:bCs/>
          <w:color w:val="F46E35"/>
          <w:sz w:val="56"/>
          <w:szCs w:val="56"/>
          <w:lang w:val="en-NZ"/>
        </w:rPr>
      </w:pPr>
      <w:r w:rsidRPr="008D2417">
        <w:rPr>
          <w:rFonts w:asciiTheme="majorHAnsi" w:eastAsia="Century Gothic" w:hAnsiTheme="majorHAnsi" w:cstheme="majorHAnsi"/>
          <w:bCs/>
          <w:color w:val="F46E35"/>
          <w:sz w:val="56"/>
          <w:szCs w:val="56"/>
          <w:lang w:val="en-NZ"/>
        </w:rPr>
        <w:t>Achi</w:t>
      </w:r>
      <w:r w:rsidR="00B05CAB" w:rsidRPr="008D2417">
        <w:rPr>
          <w:rFonts w:asciiTheme="majorHAnsi" w:eastAsia="Century Gothic" w:hAnsiTheme="majorHAnsi" w:cstheme="majorHAnsi"/>
          <w:bCs/>
          <w:color w:val="F46E35"/>
          <w:sz w:val="56"/>
          <w:szCs w:val="56"/>
          <w:lang w:val="en-NZ"/>
        </w:rPr>
        <w:t>evement and learning objectives</w:t>
      </w:r>
    </w:p>
    <w:p w14:paraId="63C8BE17" w14:textId="77777777" w:rsidR="00B05CAB" w:rsidRPr="00DB0036" w:rsidRDefault="00B05CAB" w:rsidP="00DB0036"/>
    <w:p w14:paraId="03D05E65" w14:textId="77777777" w:rsidR="00CA1E95" w:rsidRPr="00CA1E95" w:rsidRDefault="00CA1E95" w:rsidP="00CA1E95">
      <w:pPr>
        <w:rPr>
          <w:rFonts w:asciiTheme="majorHAnsi" w:eastAsia="Century Gothic" w:hAnsiTheme="majorHAnsi" w:cstheme="majorHAnsi"/>
          <w:sz w:val="20"/>
          <w:szCs w:val="20"/>
        </w:rPr>
      </w:pPr>
      <w:r w:rsidRPr="00CA1E95">
        <w:rPr>
          <w:rFonts w:asciiTheme="majorHAnsi" w:eastAsia="Century Gothic" w:hAnsiTheme="majorHAnsi" w:cstheme="majorHAnsi"/>
          <w:sz w:val="20"/>
          <w:szCs w:val="20"/>
        </w:rPr>
        <w:t>This resource encourages students to apply their maths skills and knowledge within the context of financial sustainability. Students explore investments/</w:t>
      </w:r>
      <w:proofErr w:type="spellStart"/>
      <w:r w:rsidRPr="00CA1E95">
        <w:rPr>
          <w:rFonts w:asciiTheme="majorHAnsi" w:eastAsia="Century Gothic" w:hAnsiTheme="majorHAnsi" w:cstheme="majorHAnsi"/>
          <w:sz w:val="20"/>
          <w:szCs w:val="20"/>
        </w:rPr>
        <w:t>whakangao</w:t>
      </w:r>
      <w:proofErr w:type="spellEnd"/>
      <w:r w:rsidRPr="00CA1E95">
        <w:rPr>
          <w:rFonts w:asciiTheme="majorHAnsi" w:eastAsia="Century Gothic" w:hAnsiTheme="majorHAnsi" w:cstheme="majorHAnsi"/>
          <w:sz w:val="20"/>
          <w:szCs w:val="20"/>
        </w:rPr>
        <w:t>, Insurance/</w:t>
      </w:r>
      <w:proofErr w:type="spellStart"/>
      <w:r w:rsidRPr="00CA1E95">
        <w:rPr>
          <w:rFonts w:asciiTheme="majorHAnsi" w:eastAsia="Century Gothic" w:hAnsiTheme="majorHAnsi" w:cstheme="majorHAnsi"/>
          <w:sz w:val="20"/>
          <w:szCs w:val="20"/>
        </w:rPr>
        <w:t>inihua</w:t>
      </w:r>
      <w:proofErr w:type="spellEnd"/>
      <w:r w:rsidRPr="00CA1E95">
        <w:rPr>
          <w:rFonts w:asciiTheme="majorHAnsi" w:eastAsia="Century Gothic" w:hAnsiTheme="majorHAnsi" w:cstheme="majorHAnsi"/>
          <w:sz w:val="20"/>
          <w:szCs w:val="20"/>
        </w:rPr>
        <w:t>, KiwiSaver and retirement/</w:t>
      </w:r>
      <w:proofErr w:type="spellStart"/>
      <w:r w:rsidRPr="00CA1E95">
        <w:rPr>
          <w:rFonts w:asciiTheme="majorHAnsi" w:eastAsia="Century Gothic" w:hAnsiTheme="majorHAnsi" w:cstheme="majorHAnsi"/>
          <w:sz w:val="20"/>
          <w:szCs w:val="20"/>
        </w:rPr>
        <w:t>whakatā</w:t>
      </w:r>
      <w:proofErr w:type="spellEnd"/>
      <w:r w:rsidRPr="00CA1E95">
        <w:rPr>
          <w:rFonts w:asciiTheme="majorHAnsi" w:eastAsia="Century Gothic" w:hAnsiTheme="majorHAnsi" w:cstheme="majorHAnsi"/>
          <w:sz w:val="20"/>
          <w:szCs w:val="20"/>
        </w:rPr>
        <w:t>.</w:t>
      </w:r>
    </w:p>
    <w:p w14:paraId="6BC20B60" w14:textId="77777777" w:rsidR="00CA1E95" w:rsidRPr="00CA1E95" w:rsidRDefault="00CA1E95" w:rsidP="00CA1E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0E3B550B" w14:textId="77777777" w:rsidR="00CA1E95" w:rsidRPr="00CA1E95" w:rsidRDefault="00CA1E95" w:rsidP="00CA1E95">
      <w:pPr>
        <w:rPr>
          <w:rFonts w:asciiTheme="majorHAnsi" w:eastAsia="Century Gothic" w:hAnsiTheme="majorHAnsi" w:cstheme="majorHAnsi"/>
          <w:color w:val="333333"/>
          <w:sz w:val="20"/>
          <w:szCs w:val="20"/>
        </w:rPr>
      </w:pPr>
      <w:r w:rsidRPr="00CA1E95">
        <w:rPr>
          <w:rFonts w:asciiTheme="majorHAnsi" w:eastAsia="Century Gothic" w:hAnsiTheme="majorHAnsi" w:cstheme="majorHAnsi"/>
          <w:sz w:val="20"/>
          <w:szCs w:val="20"/>
        </w:rPr>
        <w:t xml:space="preserve">This is an integrated, cross-curricular resource, supporting the theme </w:t>
      </w:r>
      <w:r w:rsidRPr="00CA1E95">
        <w:rPr>
          <w:rFonts w:asciiTheme="majorHAnsi" w:eastAsia="Century Gothic" w:hAnsiTheme="majorHAnsi" w:cstheme="majorHAnsi"/>
          <w:b/>
          <w:sz w:val="20"/>
          <w:szCs w:val="20"/>
        </w:rPr>
        <w:t xml:space="preserve">sustainability </w:t>
      </w:r>
      <w:r w:rsidRPr="00CA1E95">
        <w:rPr>
          <w:rFonts w:asciiTheme="majorHAnsi" w:eastAsia="Century Gothic" w:hAnsiTheme="majorHAnsi" w:cstheme="majorHAnsi"/>
          <w:sz w:val="20"/>
          <w:szCs w:val="20"/>
        </w:rPr>
        <w:t xml:space="preserve">and can be used in multiple ways. Related </w:t>
      </w:r>
      <w:r w:rsidRPr="00CA1E95">
        <w:rPr>
          <w:rFonts w:asciiTheme="majorHAnsi" w:eastAsia="Century Gothic" w:hAnsiTheme="majorHAnsi" w:cstheme="majorHAnsi"/>
          <w:color w:val="333333"/>
          <w:sz w:val="20"/>
          <w:szCs w:val="20"/>
        </w:rPr>
        <w:t>resources are available for health and social sciences.</w:t>
      </w:r>
    </w:p>
    <w:p w14:paraId="153A4185" w14:textId="77777777" w:rsidR="00CA1E95" w:rsidRPr="00CA1E95" w:rsidRDefault="00CA1E95" w:rsidP="00CA1E95">
      <w:pPr>
        <w:rPr>
          <w:rFonts w:asciiTheme="majorHAnsi" w:eastAsia="Century Gothic" w:hAnsiTheme="majorHAnsi" w:cstheme="majorHAnsi"/>
          <w:color w:val="333333"/>
          <w:sz w:val="20"/>
          <w:szCs w:val="20"/>
        </w:rPr>
      </w:pPr>
    </w:p>
    <w:p w14:paraId="76F03978" w14:textId="77777777" w:rsidR="00CA1E95" w:rsidRPr="00CA1E95" w:rsidRDefault="00CA1E95" w:rsidP="00CA1E95">
      <w:pPr>
        <w:spacing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A1E95">
        <w:rPr>
          <w:rFonts w:asciiTheme="majorHAnsi" w:eastAsia="Century Gothic" w:hAnsiTheme="majorHAnsi" w:cstheme="majorHAnsi"/>
          <w:sz w:val="20"/>
          <w:szCs w:val="20"/>
        </w:rPr>
        <w:t xml:space="preserve">Important readings: </w:t>
      </w:r>
    </w:p>
    <w:p w14:paraId="78D9AC99" w14:textId="77777777" w:rsidR="00CA1E95" w:rsidRPr="00CA1E95" w:rsidRDefault="00CA1E95" w:rsidP="00CA1E95">
      <w:pPr>
        <w:numPr>
          <w:ilvl w:val="0"/>
          <w:numId w:val="24"/>
        </w:numPr>
        <w:rPr>
          <w:rFonts w:asciiTheme="majorHAnsi" w:eastAsia="Century Gothic" w:hAnsiTheme="majorHAnsi" w:cstheme="majorHAnsi"/>
          <w:b/>
          <w:bCs/>
          <w:color w:val="F36E37"/>
          <w:sz w:val="20"/>
          <w:szCs w:val="20"/>
        </w:rPr>
      </w:pPr>
      <w:hyperlink r:id="rId7" w:history="1">
        <w:r w:rsidRPr="00CA1E95">
          <w:rPr>
            <w:rStyle w:val="Hyperlink"/>
            <w:rFonts w:asciiTheme="majorHAnsi" w:eastAsia="Century Gothic" w:hAnsiTheme="majorHAnsi" w:cstheme="majorHAnsi"/>
            <w:b/>
            <w:bCs/>
            <w:color w:val="F36E37"/>
            <w:sz w:val="20"/>
            <w:szCs w:val="20"/>
            <w:u w:val="none"/>
          </w:rPr>
          <w:t>Financial sustainability resource introduction</w:t>
        </w:r>
      </w:hyperlink>
    </w:p>
    <w:p w14:paraId="51BF5B19" w14:textId="77777777" w:rsidR="00CA1E95" w:rsidRPr="00CA1E95" w:rsidRDefault="00CA1E95" w:rsidP="00CA1E95">
      <w:pPr>
        <w:numPr>
          <w:ilvl w:val="0"/>
          <w:numId w:val="24"/>
        </w:numPr>
        <w:spacing w:line="240" w:lineRule="auto"/>
        <w:rPr>
          <w:rFonts w:asciiTheme="majorHAnsi" w:eastAsia="Century Gothic" w:hAnsiTheme="majorHAnsi" w:cstheme="majorHAnsi"/>
          <w:sz w:val="20"/>
          <w:szCs w:val="20"/>
        </w:rPr>
      </w:pPr>
      <w:hyperlink r:id="rId8" w:history="1">
        <w:r w:rsidRPr="00CA1E95">
          <w:rPr>
            <w:rStyle w:val="Hyperlink"/>
            <w:rFonts w:asciiTheme="majorHAnsi" w:eastAsia="Century Gothic" w:hAnsiTheme="majorHAnsi" w:cstheme="majorHAnsi"/>
            <w:b/>
            <w:bCs/>
            <w:color w:val="F36E37"/>
            <w:sz w:val="20"/>
            <w:szCs w:val="20"/>
            <w:u w:val="none"/>
          </w:rPr>
          <w:t>Pedagogy and methodology</w:t>
        </w:r>
      </w:hyperlink>
      <w:r w:rsidRPr="00CA1E95">
        <w:rPr>
          <w:rFonts w:asciiTheme="majorHAnsi" w:eastAsia="Century Gothic" w:hAnsiTheme="majorHAnsi" w:cstheme="majorHAnsi"/>
          <w:sz w:val="20"/>
          <w:szCs w:val="20"/>
        </w:rPr>
        <w:t xml:space="preserve"> overview for the frameworks underpinning the development of this resource.</w:t>
      </w:r>
    </w:p>
    <w:p w14:paraId="205B1006" w14:textId="45076B3B" w:rsidR="00166C0C" w:rsidRPr="0000218B" w:rsidRDefault="002F3613">
      <w:pPr>
        <w:rPr>
          <w:rFonts w:asciiTheme="majorHAnsi" w:eastAsia="Century Gothic" w:hAnsiTheme="majorHAnsi" w:cstheme="majorHAnsi"/>
          <w:sz w:val="20"/>
          <w:szCs w:val="20"/>
        </w:rPr>
      </w:pPr>
      <w:r w:rsidRPr="002F3613">
        <w:rPr>
          <w:rFonts w:asciiTheme="majorHAnsi" w:eastAsia="Century Gothic" w:hAnsiTheme="majorHAnsi" w:cstheme="maj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35B356E" wp14:editId="5A60DF24">
            <wp:simplePos x="0" y="0"/>
            <wp:positionH relativeFrom="column">
              <wp:posOffset>6210300</wp:posOffset>
            </wp:positionH>
            <wp:positionV relativeFrom="paragraph">
              <wp:posOffset>177800</wp:posOffset>
            </wp:positionV>
            <wp:extent cx="132080" cy="135890"/>
            <wp:effectExtent l="0" t="0" r="1270" b="0"/>
            <wp:wrapNone/>
            <wp:docPr id="5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08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C23" w:rsidRPr="00E8540A">
        <w:rPr>
          <w:rFonts w:cstheme="minorHAnsi"/>
          <w:noProof/>
          <w:szCs w:val="20"/>
        </w:rPr>
        <w:drawing>
          <wp:anchor distT="0" distB="0" distL="0" distR="0" simplePos="0" relativeHeight="251675648" behindDoc="1" locked="0" layoutInCell="1" allowOverlap="1" wp14:anchorId="2BF5546E" wp14:editId="6569234E">
            <wp:simplePos x="0" y="0"/>
            <wp:positionH relativeFrom="page">
              <wp:posOffset>9526</wp:posOffset>
            </wp:positionH>
            <wp:positionV relativeFrom="page">
              <wp:posOffset>3200401</wp:posOffset>
            </wp:positionV>
            <wp:extent cx="356234" cy="1314450"/>
            <wp:effectExtent l="0" t="0" r="6350" b="0"/>
            <wp:wrapNone/>
            <wp:docPr id="27" name="image9.png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 descr="A picture containing background pattern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06" cy="1335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EF500" w14:textId="6B7ADEB7" w:rsidR="00166C0C" w:rsidRPr="0075346C" w:rsidRDefault="00E72EA4">
      <w:pPr>
        <w:rPr>
          <w:rFonts w:asciiTheme="majorHAnsi" w:eastAsia="Century Gothic" w:hAnsiTheme="majorHAnsi" w:cstheme="majorHAnsi"/>
          <w:sz w:val="20"/>
          <w:szCs w:val="20"/>
        </w:rPr>
      </w:pPr>
      <w:r w:rsidRPr="002F3613">
        <w:rPr>
          <w:rFonts w:asciiTheme="majorHAnsi" w:eastAsia="Century Gothic" w:hAnsiTheme="majorHAnsi" w:cstheme="majorHAnsi"/>
          <w:noProof/>
          <w:sz w:val="20"/>
          <w:szCs w:val="20"/>
        </w:rPr>
        <w:drawing>
          <wp:anchor distT="0" distB="0" distL="114300" distR="114300" simplePos="0" relativeHeight="251634688" behindDoc="0" locked="0" layoutInCell="1" allowOverlap="1" wp14:anchorId="5F8A41E4" wp14:editId="33370104">
            <wp:simplePos x="0" y="0"/>
            <wp:positionH relativeFrom="column">
              <wp:posOffset>4644101</wp:posOffset>
            </wp:positionH>
            <wp:positionV relativeFrom="paragraph">
              <wp:posOffset>5434966</wp:posOffset>
            </wp:positionV>
            <wp:extent cx="1830070" cy="1068705"/>
            <wp:effectExtent l="0" t="19050" r="0" b="55245"/>
            <wp:wrapNone/>
            <wp:docPr id="52" name="Picture 5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7602">
                      <a:off x="0" y="0"/>
                      <a:ext cx="183007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613" w:rsidRPr="002F3613">
        <w:rPr>
          <w:rFonts w:asciiTheme="majorHAnsi" w:eastAsia="Century Gothic" w:hAnsiTheme="majorHAnsi" w:cstheme="majorHAnsi"/>
          <w:noProof/>
          <w:sz w:val="20"/>
          <w:szCs w:val="20"/>
        </w:rPr>
        <w:drawing>
          <wp:anchor distT="0" distB="0" distL="114300" distR="114300" simplePos="0" relativeHeight="251639808" behindDoc="0" locked="0" layoutInCell="1" allowOverlap="1" wp14:anchorId="2C049AC3" wp14:editId="0D7413D4">
            <wp:simplePos x="0" y="0"/>
            <wp:positionH relativeFrom="column">
              <wp:posOffset>-142875</wp:posOffset>
            </wp:positionH>
            <wp:positionV relativeFrom="paragraph">
              <wp:posOffset>2209800</wp:posOffset>
            </wp:positionV>
            <wp:extent cx="132080" cy="135890"/>
            <wp:effectExtent l="0" t="0" r="1270" b="0"/>
            <wp:wrapNone/>
            <wp:docPr id="110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08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1Light-Accent6"/>
        <w:tblW w:w="9634" w:type="dxa"/>
        <w:tblLayout w:type="fixed"/>
        <w:tblLook w:val="0600" w:firstRow="0" w:lastRow="0" w:firstColumn="0" w:lastColumn="0" w:noHBand="1" w:noVBand="1"/>
      </w:tblPr>
      <w:tblGrid>
        <w:gridCol w:w="9634"/>
      </w:tblGrid>
      <w:tr w:rsidR="00E42745" w:rsidRPr="0075346C" w14:paraId="13E8A0C5" w14:textId="77777777" w:rsidTr="00336510">
        <w:trPr>
          <w:trHeight w:val="940"/>
        </w:trPr>
        <w:tc>
          <w:tcPr>
            <w:tcW w:w="9634" w:type="dxa"/>
          </w:tcPr>
          <w:p w14:paraId="7D9C74B8" w14:textId="08DA8325" w:rsidR="00E42745" w:rsidRDefault="001160D7" w:rsidP="00E42745">
            <w:pPr>
              <w:rPr>
                <w:rFonts w:asciiTheme="majorHAnsi" w:eastAsia="Century Gothic" w:hAnsiTheme="majorHAnsi" w:cstheme="majorHAnsi"/>
                <w:b/>
                <w:color w:val="502A75"/>
                <w:sz w:val="24"/>
                <w:szCs w:val="24"/>
              </w:rPr>
            </w:pPr>
            <w:r w:rsidRPr="001160D7">
              <w:rPr>
                <w:rFonts w:asciiTheme="majorHAnsi" w:eastAsia="Century Gothic" w:hAnsiTheme="majorHAnsi" w:cstheme="majorHAnsi"/>
                <w:noProof/>
                <w:color w:val="502A7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FCC6D" wp14:editId="471B81A4">
                      <wp:simplePos x="0" y="0"/>
                      <wp:positionH relativeFrom="column">
                        <wp:posOffset>5501006</wp:posOffset>
                      </wp:positionH>
                      <wp:positionV relativeFrom="paragraph">
                        <wp:posOffset>-184150</wp:posOffset>
                      </wp:positionV>
                      <wp:extent cx="310101" cy="318053"/>
                      <wp:effectExtent l="34290" t="0" r="29210" b="29210"/>
                      <wp:wrapNone/>
                      <wp:docPr id="14" name="Right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74016">
                                <a:off x="0" y="0"/>
                                <a:ext cx="310101" cy="31805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6CCDE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FCBD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4" o:spid="_x0000_s1026" type="#_x0000_t6" style="position:absolute;margin-left:433.15pt;margin-top:-14.5pt;width:24.4pt;height:25.05pt;rotation:-548971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" fillcolor="#6ccde5" stroked="f" strokeweight="2pt"/>
                  </w:pict>
                </mc:Fallback>
              </mc:AlternateContent>
            </w:r>
            <w:r w:rsidR="00E42745" w:rsidRPr="001160D7">
              <w:rPr>
                <w:rFonts w:asciiTheme="majorHAnsi" w:eastAsia="Century Gothic" w:hAnsiTheme="majorHAnsi" w:cstheme="majorHAnsi"/>
                <w:b/>
                <w:color w:val="502A75"/>
                <w:sz w:val="24"/>
                <w:szCs w:val="24"/>
              </w:rPr>
              <w:t>Mathematics and statistics achievement objectives</w:t>
            </w:r>
          </w:p>
          <w:p w14:paraId="41E5CB6D" w14:textId="77777777" w:rsidR="00942293" w:rsidRPr="001160D7" w:rsidRDefault="00942293" w:rsidP="00E42745">
            <w:pPr>
              <w:rPr>
                <w:rFonts w:asciiTheme="majorHAnsi" w:eastAsia="Century Gothic" w:hAnsiTheme="majorHAnsi" w:cstheme="majorHAnsi"/>
                <w:b/>
                <w:sz w:val="24"/>
                <w:szCs w:val="24"/>
              </w:rPr>
            </w:pPr>
          </w:p>
          <w:p w14:paraId="7636B180" w14:textId="2437CA9A" w:rsidR="00E42745" w:rsidRPr="001160D7" w:rsidRDefault="00E42745" w:rsidP="00E4274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  <w:t>In a range of meaningful contexts, students will be engaged in thinking mathematically and statistically. They will solve problems and model situations that require them to:</w:t>
            </w:r>
          </w:p>
          <w:p w14:paraId="2B446E38" w14:textId="0153CBF8" w:rsidR="00E42745" w:rsidRPr="001160D7" w:rsidRDefault="00E42745" w:rsidP="00E42745">
            <w:pPr>
              <w:rPr>
                <w:rFonts w:asciiTheme="majorHAnsi" w:eastAsia="Century Gothic" w:hAnsiTheme="majorHAnsi" w:cstheme="majorHAnsi"/>
                <w:b/>
                <w:color w:val="ED7D31"/>
                <w:sz w:val="20"/>
                <w:szCs w:val="20"/>
              </w:rPr>
            </w:pPr>
          </w:p>
          <w:p w14:paraId="5BF51C40" w14:textId="75F2DBD3" w:rsidR="001E7924" w:rsidRDefault="001E7924" w:rsidP="00E4274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Level 4</w:t>
            </w:r>
          </w:p>
          <w:p w14:paraId="7B45116A" w14:textId="7A2FC71C" w:rsidR="00E42745" w:rsidRPr="001E7924" w:rsidRDefault="00E42745" w:rsidP="00E42745">
            <w:pPr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</w:pPr>
            <w:r w:rsidRPr="001E7924"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  <w:t>Number and Algebra</w:t>
            </w:r>
          </w:p>
          <w:p w14:paraId="23B9FCC1" w14:textId="5C9C10E7" w:rsidR="00E42745" w:rsidRPr="001160D7" w:rsidRDefault="00E42745" w:rsidP="00E42745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Understand addition and subtraction of fractions, decimals, and integers</w:t>
            </w:r>
          </w:p>
          <w:p w14:paraId="31224BA9" w14:textId="4B3124E6" w:rsidR="00E42745" w:rsidRPr="001160D7" w:rsidRDefault="00E42745" w:rsidP="00E42745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Find fractions, decimals, and percentages of amounts expressed as whole numbers, simple fractions, and decimals</w:t>
            </w:r>
          </w:p>
          <w:p w14:paraId="0BBD5A2E" w14:textId="10557B99" w:rsidR="00E42745" w:rsidRPr="001160D7" w:rsidRDefault="00E42745" w:rsidP="00E42745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Apply simple linear proportions, including ordering fractions</w:t>
            </w:r>
          </w:p>
          <w:p w14:paraId="7A394AA2" w14:textId="77777777" w:rsidR="00E42745" w:rsidRPr="001160D7" w:rsidRDefault="00E42745" w:rsidP="00E42745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Know the equivalent decimal and percentage forms for everyday fractions</w:t>
            </w:r>
          </w:p>
          <w:p w14:paraId="02F12456" w14:textId="02763DE0" w:rsidR="00E42745" w:rsidRPr="001160D7" w:rsidRDefault="00E42745" w:rsidP="00E42745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Know the relative size and place value structure of positive and negative integers and decimals to three places</w:t>
            </w:r>
          </w:p>
          <w:p w14:paraId="23DC9DDC" w14:textId="58243C5C" w:rsidR="007D14BA" w:rsidRPr="007E76FB" w:rsidRDefault="00E42745" w:rsidP="007E76FB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Form and solve simple linear equations</w:t>
            </w:r>
          </w:p>
          <w:p w14:paraId="3CE5F09C" w14:textId="55867FAB" w:rsidR="00097458" w:rsidRDefault="001E7924" w:rsidP="007D14BA">
            <w:pPr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</w:pPr>
            <w:r w:rsidRPr="001E7924"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  <w:t>Geometry and Measurement</w:t>
            </w:r>
          </w:p>
          <w:p w14:paraId="0808E1A3" w14:textId="776D731C" w:rsidR="001E7924" w:rsidRPr="000A1D0E" w:rsidRDefault="001E7924" w:rsidP="007D14BA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D14BA">
              <w:rPr>
                <w:rFonts w:asciiTheme="majorHAnsi" w:eastAsia="Century Gothic" w:hAnsiTheme="majorHAnsi" w:cstheme="majorHAnsi"/>
                <w:sz w:val="20"/>
                <w:szCs w:val="20"/>
              </w:rPr>
              <w:t>Convert between</w:t>
            </w:r>
            <w:r w:rsidRPr="00097458">
              <w:rPr>
                <w:rFonts w:asciiTheme="majorHAnsi" w:eastAsia="Century Gothic" w:hAnsiTheme="majorHAnsi" w:cstheme="majorHAnsi"/>
                <w:sz w:val="20"/>
                <w:szCs w:val="20"/>
              </w:rPr>
              <w:t xml:space="preserve"> metric units, using whole numbers and commonly used decimals</w:t>
            </w:r>
          </w:p>
          <w:p w14:paraId="2886189E" w14:textId="1EC72AD5" w:rsidR="001E7924" w:rsidRPr="00097458" w:rsidRDefault="001E7924" w:rsidP="000A1D0E">
            <w:pPr>
              <w:numPr>
                <w:ilvl w:val="0"/>
                <w:numId w:val="25"/>
              </w:num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097458">
              <w:rPr>
                <w:rFonts w:asciiTheme="majorHAnsi" w:eastAsia="Century Gothic" w:hAnsiTheme="majorHAnsi" w:cstheme="majorHAnsi"/>
                <w:sz w:val="20"/>
                <w:szCs w:val="20"/>
              </w:rPr>
              <w:t>Use side or edge lengths to find the perimeters and areas of rectangles, parallelograms, and triangles and the volumes of cuboids.</w:t>
            </w:r>
          </w:p>
          <w:p w14:paraId="7BB8532D" w14:textId="3EF8D17E" w:rsidR="00E42745" w:rsidRPr="001160D7" w:rsidRDefault="00E42745" w:rsidP="00E4274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7BDC4BC1" w14:textId="299CCB89" w:rsidR="00DD0570" w:rsidRDefault="00DD0570" w:rsidP="00DD0570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Level 5</w:t>
            </w:r>
          </w:p>
          <w:p w14:paraId="4F5FB189" w14:textId="02A7D67E" w:rsidR="00DD0570" w:rsidRPr="007E76FB" w:rsidRDefault="00E42745" w:rsidP="00DD0570">
            <w:pPr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</w:pPr>
            <w:r w:rsidRPr="007E76FB"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  <w:t>Number and Algebra</w:t>
            </w:r>
          </w:p>
          <w:p w14:paraId="01D90E22" w14:textId="3BF55F8E" w:rsidR="00E42745" w:rsidRPr="001160D7" w:rsidRDefault="00E42745" w:rsidP="00DD0570">
            <w:pPr>
              <w:numPr>
                <w:ilvl w:val="0"/>
                <w:numId w:val="26"/>
              </w:numPr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  <w:t>Reason with linear proportions</w:t>
            </w:r>
          </w:p>
          <w:p w14:paraId="7EFFE918" w14:textId="77777777" w:rsidR="00E42745" w:rsidRPr="001160D7" w:rsidRDefault="00E42745" w:rsidP="00E42745">
            <w:pPr>
              <w:numPr>
                <w:ilvl w:val="0"/>
                <w:numId w:val="26"/>
              </w:numPr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  <w:t>Understand operations on fractions, decimals, percentages, and integers</w:t>
            </w:r>
          </w:p>
          <w:p w14:paraId="3A9E2725" w14:textId="77FFEA07" w:rsidR="00E42745" w:rsidRPr="001160D7" w:rsidRDefault="00E42745" w:rsidP="00E42745">
            <w:pPr>
              <w:numPr>
                <w:ilvl w:val="0"/>
                <w:numId w:val="26"/>
              </w:numPr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  <w:t>Use rates and ratios</w:t>
            </w:r>
          </w:p>
          <w:p w14:paraId="605096B9" w14:textId="46C6C0E6" w:rsidR="00E42745" w:rsidRPr="001160D7" w:rsidRDefault="00E42745" w:rsidP="00E42745">
            <w:pPr>
              <w:numPr>
                <w:ilvl w:val="0"/>
                <w:numId w:val="26"/>
              </w:numPr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  <w:t>Know commonly used fraction, decimal, and percentage conversions</w:t>
            </w:r>
          </w:p>
          <w:p w14:paraId="0EB320B6" w14:textId="2B871851" w:rsidR="00E42745" w:rsidRPr="001160D7" w:rsidRDefault="00E42745" w:rsidP="00E42745">
            <w:pPr>
              <w:numPr>
                <w:ilvl w:val="0"/>
                <w:numId w:val="26"/>
              </w:numPr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  <w:t>Know and apply standard form, significant figures, rounding, and decimal place value</w:t>
            </w:r>
          </w:p>
          <w:p w14:paraId="08FA9001" w14:textId="36681365" w:rsidR="00E42745" w:rsidRPr="001160D7" w:rsidRDefault="00E42745" w:rsidP="00E42745">
            <w:pPr>
              <w:numPr>
                <w:ilvl w:val="0"/>
                <w:numId w:val="26"/>
              </w:numPr>
              <w:spacing w:after="160"/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  <w:shd w:val="clear" w:color="auto" w:fill="FDFDFD"/>
              </w:rPr>
              <w:t>Form and solve linear and simple quadratic equations</w:t>
            </w:r>
          </w:p>
          <w:p w14:paraId="374C2C90" w14:textId="1DE24BE4" w:rsidR="00E42745" w:rsidRPr="007E76FB" w:rsidRDefault="00E42745" w:rsidP="007E76FB">
            <w:pPr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</w:pPr>
            <w:r w:rsidRPr="007E76FB"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  <w:t>Geometry and Measurement, Level Five</w:t>
            </w:r>
          </w:p>
          <w:p w14:paraId="005652B4" w14:textId="7A82EAA3" w:rsidR="00E42745" w:rsidRPr="001160D7" w:rsidRDefault="00E42745" w:rsidP="007E76FB">
            <w:pPr>
              <w:numPr>
                <w:ilvl w:val="0"/>
                <w:numId w:val="28"/>
              </w:numPr>
              <w:spacing w:line="259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E76FB">
              <w:rPr>
                <w:rFonts w:asciiTheme="majorHAnsi" w:eastAsia="Century Gothic" w:hAnsiTheme="majorHAnsi" w:cstheme="majorHAnsi"/>
                <w:sz w:val="20"/>
                <w:szCs w:val="20"/>
              </w:rPr>
              <w:t>Select and</w:t>
            </w: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 xml:space="preserve"> use appropriate metric units for length, area, volume and capacity, weight (mass), temperature, angle, and time, with the awareness that measurements are approximate</w:t>
            </w:r>
          </w:p>
          <w:p w14:paraId="0AAF7453" w14:textId="6A0DDB80" w:rsidR="00E42745" w:rsidRPr="001160D7" w:rsidRDefault="00E42745" w:rsidP="00E42745">
            <w:pPr>
              <w:numPr>
                <w:ilvl w:val="0"/>
                <w:numId w:val="28"/>
              </w:numPr>
              <w:spacing w:line="259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Convert between metric units, using decimals</w:t>
            </w:r>
          </w:p>
          <w:p w14:paraId="095ADA15" w14:textId="77777777" w:rsidR="007E76FB" w:rsidRDefault="00E42745" w:rsidP="007E76FB">
            <w:pPr>
              <w:numPr>
                <w:ilvl w:val="0"/>
                <w:numId w:val="28"/>
              </w:numPr>
              <w:spacing w:line="259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>Deduce and use formulae to find the perimeters and areas of polygons and the volumes of prisms</w:t>
            </w:r>
          </w:p>
          <w:p w14:paraId="10BBE90F" w14:textId="56B2F6D8" w:rsidR="00E42745" w:rsidRPr="007E76FB" w:rsidRDefault="00E42745" w:rsidP="007E76FB">
            <w:pPr>
              <w:numPr>
                <w:ilvl w:val="0"/>
                <w:numId w:val="28"/>
              </w:numPr>
              <w:spacing w:line="259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E76FB">
              <w:rPr>
                <w:rFonts w:asciiTheme="majorHAnsi" w:eastAsia="Century Gothic" w:hAnsiTheme="majorHAnsi" w:cstheme="majorHAnsi"/>
                <w:sz w:val="20"/>
                <w:szCs w:val="20"/>
              </w:rPr>
              <w:lastRenderedPageBreak/>
              <w:t>Find the perimeters and areas of circles and composite shapes and the volumes of prisms, including cylinders</w:t>
            </w:r>
          </w:p>
        </w:tc>
      </w:tr>
      <w:tr w:rsidR="00E42745" w:rsidRPr="0075346C" w14:paraId="513A1E99" w14:textId="77777777" w:rsidTr="00336510">
        <w:trPr>
          <w:trHeight w:val="940"/>
        </w:trPr>
        <w:tc>
          <w:tcPr>
            <w:tcW w:w="9634" w:type="dxa"/>
          </w:tcPr>
          <w:p w14:paraId="3DB4B7D6" w14:textId="6E659515" w:rsidR="00E42745" w:rsidRPr="001160D7" w:rsidRDefault="00E42745" w:rsidP="00E4274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lastRenderedPageBreak/>
              <w:t>Specific learning objectives</w:t>
            </w:r>
          </w:p>
          <w:p w14:paraId="58FD67EE" w14:textId="2C7E202C" w:rsidR="00E42745" w:rsidRPr="001160D7" w:rsidRDefault="00E42745" w:rsidP="00E4274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52D1AF2C" w14:textId="0F25D9C0" w:rsidR="00E42745" w:rsidRPr="001160D7" w:rsidRDefault="00E42745" w:rsidP="00E4274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1160D7">
              <w:rPr>
                <w:rFonts w:asciiTheme="majorHAnsi" w:eastAsia="Century Gothic" w:hAnsiTheme="majorHAnsi" w:cstheme="majorHAnsi"/>
                <w:sz w:val="20"/>
                <w:szCs w:val="20"/>
              </w:rPr>
              <w:t xml:space="preserve">For a detailed list of specific learning objectives, please refer to the </w:t>
            </w:r>
            <w:hyperlink r:id="rId12" w:history="1">
              <w:r w:rsidRPr="007E76FB">
                <w:rPr>
                  <w:rStyle w:val="Hyperlink"/>
                  <w:rFonts w:asciiTheme="majorHAnsi" w:eastAsia="Century Gothic" w:hAnsiTheme="majorHAnsi" w:cstheme="majorHAnsi"/>
                  <w:b/>
                  <w:bCs/>
                  <w:color w:val="F36E37"/>
                  <w:sz w:val="20"/>
                  <w:szCs w:val="20"/>
                  <w:u w:val="none"/>
                </w:rPr>
                <w:t>maths assessment rubric.</w:t>
              </w:r>
            </w:hyperlink>
          </w:p>
        </w:tc>
      </w:tr>
    </w:tbl>
    <w:p w14:paraId="514939C7" w14:textId="3A1F5831" w:rsidR="00445944" w:rsidRDefault="00D17166">
      <w:pPr>
        <w:rPr>
          <w:rFonts w:asciiTheme="majorHAnsi" w:eastAsia="Century Gothic" w:hAnsiTheme="majorHAnsi" w:cstheme="majorHAnsi"/>
          <w:b/>
          <w:sz w:val="20"/>
          <w:szCs w:val="20"/>
        </w:rPr>
      </w:pPr>
      <w:r>
        <w:rPr>
          <w:rFonts w:ascii="Calibri"/>
          <w:noProof/>
          <w:position w:val="41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F1B7C40" wp14:editId="4844EE9C">
                <wp:simplePos x="0" y="0"/>
                <wp:positionH relativeFrom="column">
                  <wp:posOffset>-194945</wp:posOffset>
                </wp:positionH>
                <wp:positionV relativeFrom="paragraph">
                  <wp:posOffset>-1052195</wp:posOffset>
                </wp:positionV>
                <wp:extent cx="306705" cy="296545"/>
                <wp:effectExtent l="0" t="0" r="0" b="825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296545"/>
                          <a:chOff x="0" y="0"/>
                          <a:chExt cx="483" cy="467"/>
                        </a:xfrm>
                      </wpg:grpSpPr>
                      <wps:wsp>
                        <wps:cNvPr id="81" name="docshape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3" cy="467"/>
                          </a:xfrm>
                          <a:custGeom>
                            <a:avLst/>
                            <a:gdLst>
                              <a:gd name="T0" fmla="*/ 229 w 483"/>
                              <a:gd name="T1" fmla="*/ 0 h 467"/>
                              <a:gd name="T2" fmla="*/ 163 w 483"/>
                              <a:gd name="T3" fmla="*/ 9 h 467"/>
                              <a:gd name="T4" fmla="*/ 102 w 483"/>
                              <a:gd name="T5" fmla="*/ 36 h 467"/>
                              <a:gd name="T6" fmla="*/ 52 w 483"/>
                              <a:gd name="T7" fmla="*/ 83 h 467"/>
                              <a:gd name="T8" fmla="*/ 6 w 483"/>
                              <a:gd name="T9" fmla="*/ 165 h 467"/>
                              <a:gd name="T10" fmla="*/ 0 w 483"/>
                              <a:gd name="T11" fmla="*/ 243 h 467"/>
                              <a:gd name="T12" fmla="*/ 24 w 483"/>
                              <a:gd name="T13" fmla="*/ 314 h 467"/>
                              <a:gd name="T14" fmla="*/ 67 w 483"/>
                              <a:gd name="T15" fmla="*/ 377 h 467"/>
                              <a:gd name="T16" fmla="*/ 118 w 483"/>
                              <a:gd name="T17" fmla="*/ 422 h 467"/>
                              <a:gd name="T18" fmla="*/ 182 w 483"/>
                              <a:gd name="T19" fmla="*/ 452 h 467"/>
                              <a:gd name="T20" fmla="*/ 251 w 483"/>
                              <a:gd name="T21" fmla="*/ 466 h 467"/>
                              <a:gd name="T22" fmla="*/ 319 w 483"/>
                              <a:gd name="T23" fmla="*/ 460 h 467"/>
                              <a:gd name="T24" fmla="*/ 394 w 483"/>
                              <a:gd name="T25" fmla="*/ 419 h 467"/>
                              <a:gd name="T26" fmla="*/ 453 w 483"/>
                              <a:gd name="T27" fmla="*/ 351 h 467"/>
                              <a:gd name="T28" fmla="*/ 483 w 483"/>
                              <a:gd name="T29" fmla="*/ 260 h 467"/>
                              <a:gd name="T30" fmla="*/ 482 w 483"/>
                              <a:gd name="T31" fmla="*/ 222 h 467"/>
                              <a:gd name="T32" fmla="*/ 460 w 483"/>
                              <a:gd name="T33" fmla="*/ 149 h 467"/>
                              <a:gd name="T34" fmla="*/ 429 w 483"/>
                              <a:gd name="T35" fmla="*/ 94 h 467"/>
                              <a:gd name="T36" fmla="*/ 385 w 483"/>
                              <a:gd name="T37" fmla="*/ 52 h 467"/>
                              <a:gd name="T38" fmla="*/ 315 w 483"/>
                              <a:gd name="T39" fmla="*/ 8 h 467"/>
                              <a:gd name="T40" fmla="*/ 297 w 483"/>
                              <a:gd name="T41" fmla="*/ 7 h 467"/>
                              <a:gd name="T42" fmla="*/ 229 w 483"/>
                              <a:gd name="T43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3" h="467">
                                <a:moveTo>
                                  <a:pt x="229" y="0"/>
                                </a:moveTo>
                                <a:lnTo>
                                  <a:pt x="163" y="9"/>
                                </a:lnTo>
                                <a:lnTo>
                                  <a:pt x="102" y="36"/>
                                </a:lnTo>
                                <a:lnTo>
                                  <a:pt x="52" y="83"/>
                                </a:lnTo>
                                <a:lnTo>
                                  <a:pt x="6" y="165"/>
                                </a:lnTo>
                                <a:lnTo>
                                  <a:pt x="0" y="243"/>
                                </a:lnTo>
                                <a:lnTo>
                                  <a:pt x="24" y="314"/>
                                </a:lnTo>
                                <a:lnTo>
                                  <a:pt x="67" y="377"/>
                                </a:lnTo>
                                <a:lnTo>
                                  <a:pt x="118" y="422"/>
                                </a:lnTo>
                                <a:lnTo>
                                  <a:pt x="182" y="452"/>
                                </a:lnTo>
                                <a:lnTo>
                                  <a:pt x="251" y="466"/>
                                </a:lnTo>
                                <a:lnTo>
                                  <a:pt x="319" y="460"/>
                                </a:lnTo>
                                <a:lnTo>
                                  <a:pt x="394" y="419"/>
                                </a:lnTo>
                                <a:lnTo>
                                  <a:pt x="453" y="351"/>
                                </a:lnTo>
                                <a:lnTo>
                                  <a:pt x="483" y="260"/>
                                </a:lnTo>
                                <a:lnTo>
                                  <a:pt x="482" y="222"/>
                                </a:lnTo>
                                <a:lnTo>
                                  <a:pt x="460" y="149"/>
                                </a:lnTo>
                                <a:lnTo>
                                  <a:pt x="429" y="94"/>
                                </a:lnTo>
                                <a:lnTo>
                                  <a:pt x="385" y="52"/>
                                </a:lnTo>
                                <a:lnTo>
                                  <a:pt x="315" y="8"/>
                                </a:lnTo>
                                <a:lnTo>
                                  <a:pt x="297" y="7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0EF50" id="Group 80" o:spid="_x0000_s1026" style="position:absolute;margin-left:-15.35pt;margin-top:-82.85pt;width:24.15pt;height:23.35pt;z-index:251683840" coordsize="48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">
                <v:shape id="docshape123" o:spid="_x0000_s1027" style="position:absolute;width:483;height:467;visibility:visible;mso-wrap-style:square;v-text-anchor:top" coordsize="48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" path="m229,l163,9,102,36,52,83,6,165,,243r24,71l67,377r51,45l182,452r69,14l319,460r75,-41l453,351r30,-91l482,222,460,149,429,94,385,52,315,8,297,7,229,xe" fillcolor="#6ccde5" stroked="f">
                  <v:path arrowok="t" o:connecttype="custom" o:connectlocs="229,0;163,9;102,36;52,83;6,165;0,243;24,314;67,377;118,422;182,452;251,466;319,460;394,419;453,351;483,260;482,222;460,149;429,94;385,52;315,8;297,7;229,0" o:connectangles="0,0,0,0,0,0,0,0,0,0,0,0,0,0,0,0,0,0,0,0,0,0"/>
                </v:shape>
              </v:group>
            </w:pict>
          </mc:Fallback>
        </mc:AlternateContent>
      </w:r>
    </w:p>
    <w:p w14:paraId="013A78AA" w14:textId="7513C839" w:rsidR="00445944" w:rsidRPr="00C5326C" w:rsidRDefault="00445944" w:rsidP="00445944">
      <w:pPr>
        <w:rPr>
          <w:rFonts w:asciiTheme="majorHAnsi" w:eastAsia="Century Gothic" w:hAnsiTheme="majorHAnsi" w:cstheme="majorHAnsi"/>
          <w:color w:val="502A75"/>
          <w:sz w:val="20"/>
          <w:szCs w:val="20"/>
        </w:rPr>
      </w:pPr>
      <w:r w:rsidRPr="00C5326C">
        <w:rPr>
          <w:rFonts w:asciiTheme="majorHAnsi" w:eastAsia="Century Gothic" w:hAnsiTheme="majorHAnsi" w:cstheme="majorHAnsi"/>
          <w:b/>
          <w:color w:val="502A75"/>
          <w:sz w:val="20"/>
          <w:szCs w:val="20"/>
        </w:rPr>
        <w:t>Please note:</w:t>
      </w:r>
      <w:r w:rsidRPr="00C5326C">
        <w:rPr>
          <w:rFonts w:asciiTheme="majorHAnsi" w:eastAsia="Century Gothic" w:hAnsiTheme="majorHAnsi" w:cstheme="majorHAnsi"/>
          <w:color w:val="502A75"/>
          <w:sz w:val="20"/>
          <w:szCs w:val="20"/>
        </w:rPr>
        <w:t xml:space="preserve"> </w:t>
      </w:r>
    </w:p>
    <w:p w14:paraId="3B33BE6A" w14:textId="55CEAD4F" w:rsidR="00445944" w:rsidRPr="0056685A" w:rsidRDefault="00445944" w:rsidP="00445944">
      <w:pPr>
        <w:rPr>
          <w:rFonts w:asciiTheme="majorHAnsi" w:eastAsia="Century Gothic" w:hAnsiTheme="majorHAnsi" w:cstheme="majorHAnsi"/>
          <w:sz w:val="20"/>
          <w:szCs w:val="20"/>
        </w:rPr>
      </w:pPr>
      <w:proofErr w:type="spellStart"/>
      <w:r>
        <w:rPr>
          <w:rFonts w:asciiTheme="majorHAnsi" w:eastAsia="Century Gothic" w:hAnsiTheme="majorHAnsi" w:cstheme="majorHAnsi"/>
          <w:sz w:val="20"/>
          <w:szCs w:val="20"/>
        </w:rPr>
        <w:t>Te</w:t>
      </w:r>
      <w:proofErr w:type="spellEnd"/>
      <w:r>
        <w:rPr>
          <w:rFonts w:asciiTheme="majorHAnsi" w:eastAsia="Century Gothic" w:hAnsiTheme="majorHAnsi" w:cstheme="majorHAnsi"/>
          <w:sz w:val="20"/>
          <w:szCs w:val="20"/>
        </w:rPr>
        <w:t xml:space="preserve"> Ara </w:t>
      </w:r>
      <w:proofErr w:type="spellStart"/>
      <w:r>
        <w:rPr>
          <w:rFonts w:asciiTheme="majorHAnsi" w:eastAsia="Century Gothic" w:hAnsiTheme="majorHAnsi" w:cstheme="majorHAnsi"/>
          <w:sz w:val="20"/>
          <w:szCs w:val="20"/>
        </w:rPr>
        <w:t>Ahunga</w:t>
      </w:r>
      <w:proofErr w:type="spellEnd"/>
      <w:r>
        <w:rPr>
          <w:rFonts w:asciiTheme="majorHAnsi" w:eastAsia="Century Gothic" w:hAnsiTheme="majorHAnsi" w:cstheme="majorHAnsi"/>
          <w:sz w:val="20"/>
          <w:szCs w:val="20"/>
        </w:rPr>
        <w:t xml:space="preserve"> Ora Retirement Commission</w:t>
      </w:r>
      <w:r w:rsidRPr="0056685A">
        <w:rPr>
          <w:rFonts w:asciiTheme="majorHAnsi" w:eastAsia="Century Gothic" w:hAnsiTheme="majorHAnsi" w:cstheme="majorHAnsi"/>
          <w:sz w:val="20"/>
          <w:szCs w:val="20"/>
        </w:rPr>
        <w:t xml:space="preserve"> recommends that all users of this resource check the conditions of use and Copyright policies of any third parties content linked to from this resource that they wish to reuse.</w:t>
      </w:r>
    </w:p>
    <w:p w14:paraId="4B1CCC3D" w14:textId="7B297529" w:rsidR="00445944" w:rsidRPr="0056685A" w:rsidRDefault="00445944" w:rsidP="00445944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2AD41C66" w14:textId="78AE8579" w:rsidR="00445944" w:rsidRPr="0056685A" w:rsidRDefault="00445944" w:rsidP="00445944">
      <w:pPr>
        <w:rPr>
          <w:rFonts w:asciiTheme="majorHAnsi" w:eastAsia="Century Gothic" w:hAnsiTheme="majorHAnsi" w:cstheme="majorHAnsi"/>
          <w:b/>
          <w:sz w:val="20"/>
          <w:szCs w:val="20"/>
        </w:rPr>
      </w:pPr>
      <w:r w:rsidRPr="002F3613">
        <w:rPr>
          <w:rFonts w:asciiTheme="majorHAnsi" w:eastAsia="Century Gothic" w:hAnsiTheme="majorHAnsi" w:cstheme="majorHAnsi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52D0E31D" wp14:editId="434F16B4">
            <wp:simplePos x="0" y="0"/>
            <wp:positionH relativeFrom="margin">
              <wp:posOffset>4815206</wp:posOffset>
            </wp:positionH>
            <wp:positionV relativeFrom="paragraph">
              <wp:posOffset>235584</wp:posOffset>
            </wp:positionV>
            <wp:extent cx="1830070" cy="1068705"/>
            <wp:effectExtent l="0" t="76200" r="0" b="131445"/>
            <wp:wrapNone/>
            <wp:docPr id="26" name="Picture 2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3520">
                      <a:off x="0" y="0"/>
                      <a:ext cx="183007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ajorHAnsi" w:eastAsia="Century Gothic" w:hAnsiTheme="majorHAnsi" w:cstheme="majorHAnsi"/>
          <w:sz w:val="20"/>
          <w:szCs w:val="20"/>
        </w:rPr>
        <w:t>Te</w:t>
      </w:r>
      <w:proofErr w:type="spellEnd"/>
      <w:r>
        <w:rPr>
          <w:rFonts w:asciiTheme="majorHAnsi" w:eastAsia="Century Gothic" w:hAnsiTheme="majorHAnsi" w:cstheme="majorHAnsi"/>
          <w:sz w:val="20"/>
          <w:szCs w:val="20"/>
        </w:rPr>
        <w:t xml:space="preserve"> Ara </w:t>
      </w:r>
      <w:proofErr w:type="spellStart"/>
      <w:r>
        <w:rPr>
          <w:rFonts w:asciiTheme="majorHAnsi" w:eastAsia="Century Gothic" w:hAnsiTheme="majorHAnsi" w:cstheme="majorHAnsi"/>
          <w:sz w:val="20"/>
          <w:szCs w:val="20"/>
        </w:rPr>
        <w:t>Ahunga</w:t>
      </w:r>
      <w:proofErr w:type="spellEnd"/>
      <w:r>
        <w:rPr>
          <w:rFonts w:asciiTheme="majorHAnsi" w:eastAsia="Century Gothic" w:hAnsiTheme="majorHAnsi" w:cstheme="majorHAnsi"/>
          <w:sz w:val="20"/>
          <w:szCs w:val="20"/>
        </w:rPr>
        <w:t xml:space="preserve"> Ora Retirement Commission</w:t>
      </w:r>
      <w:r w:rsidRPr="0056685A">
        <w:rPr>
          <w:rFonts w:asciiTheme="majorHAnsi" w:eastAsia="Century Gothic" w:hAnsiTheme="majorHAnsi" w:cstheme="majorHAnsi"/>
          <w:sz w:val="20"/>
          <w:szCs w:val="20"/>
        </w:rPr>
        <w:t xml:space="preserve"> does not accept liability for the accuracy of content or information belonging to third parties that you may access via a hyperlink from this site, nor does it endorse those sites or products.</w:t>
      </w:r>
    </w:p>
    <w:p w14:paraId="566E50BE" w14:textId="4B50F10F" w:rsidR="00166C0C" w:rsidRPr="0075346C" w:rsidRDefault="00166C0C">
      <w:pPr>
        <w:rPr>
          <w:rFonts w:asciiTheme="majorHAnsi" w:eastAsia="Century Gothic" w:hAnsiTheme="majorHAnsi" w:cstheme="majorHAnsi"/>
          <w:b/>
          <w:sz w:val="20"/>
          <w:szCs w:val="20"/>
        </w:rPr>
      </w:pPr>
    </w:p>
    <w:sectPr w:rsidR="00166C0C" w:rsidRPr="0075346C" w:rsidSect="00336510">
      <w:headerReference w:type="default" r:id="rId13"/>
      <w:footerReference w:type="default" r:id="rId14"/>
      <w:pgSz w:w="11906" w:h="16838"/>
      <w:pgMar w:top="1440" w:right="1080" w:bottom="1440" w:left="1080" w:header="0" w:footer="108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EDE4" w14:textId="77777777" w:rsidR="00252484" w:rsidRDefault="00252484">
      <w:pPr>
        <w:spacing w:line="240" w:lineRule="auto"/>
      </w:pPr>
      <w:r>
        <w:separator/>
      </w:r>
    </w:p>
  </w:endnote>
  <w:endnote w:type="continuationSeparator" w:id="0">
    <w:p w14:paraId="5B609E8B" w14:textId="77777777" w:rsidR="00252484" w:rsidRDefault="0025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Black">
    <w:altName w:val="Calibri"/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B4C4" w14:textId="114F010A" w:rsidR="00166C0C" w:rsidRDefault="00A0048B" w:rsidP="00A0048B">
    <w:r w:rsidRPr="00BC2889">
      <w:rPr>
        <w:rFonts w:cs="Calibri"/>
        <w:b/>
        <w:color w:val="F36E37"/>
        <w:w w:val="95"/>
      </w:rPr>
      <w:t>sortedinschools.org.nz</w:t>
    </w:r>
    <w:r w:rsidRPr="00861B18">
      <w:rPr>
        <w:rFonts w:ascii="Brandon Grotesque Black" w:hAnsi="Brandon Grotesque Black"/>
        <w:bCs/>
        <w:color w:val="F36E37"/>
        <w:w w:val="95"/>
        <w:sz w:val="27"/>
      </w:rPr>
      <w:br/>
    </w:r>
    <w:r w:rsidRPr="00BC2889">
      <w:rPr>
        <w:rFonts w:cs="Calibri"/>
        <w:bCs/>
        <w:w w:val="95"/>
        <w:sz w:val="12"/>
        <w:szCs w:val="12"/>
      </w:rPr>
      <w:t>© Office of the Retirement Commissioner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FC1E" w14:textId="77777777" w:rsidR="00252484" w:rsidRDefault="00252484">
      <w:pPr>
        <w:spacing w:line="240" w:lineRule="auto"/>
      </w:pPr>
      <w:r>
        <w:separator/>
      </w:r>
    </w:p>
  </w:footnote>
  <w:footnote w:type="continuationSeparator" w:id="0">
    <w:p w14:paraId="599F2B15" w14:textId="77777777" w:rsidR="00252484" w:rsidRDefault="00252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9563" w14:textId="77777777" w:rsidR="00166C0C" w:rsidRDefault="0075346C">
    <w:pPr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781AE" wp14:editId="7A7C7C60">
          <wp:simplePos x="0" y="0"/>
          <wp:positionH relativeFrom="page">
            <wp:align>left</wp:align>
          </wp:positionH>
          <wp:positionV relativeFrom="paragraph">
            <wp:posOffset>4445</wp:posOffset>
          </wp:positionV>
          <wp:extent cx="7603707" cy="10731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 - Word Template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533" cy="1074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7ECD4" w14:textId="77777777" w:rsidR="00166C0C" w:rsidRDefault="00166C0C"/>
  <w:p w14:paraId="75C55023" w14:textId="77777777" w:rsidR="00166C0C" w:rsidRDefault="00166C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580"/>
    <w:multiLevelType w:val="multilevel"/>
    <w:tmpl w:val="6D220E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5246DC"/>
    <w:multiLevelType w:val="multilevel"/>
    <w:tmpl w:val="2D825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7A0F39"/>
    <w:multiLevelType w:val="multilevel"/>
    <w:tmpl w:val="4A3AF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2600AD"/>
    <w:multiLevelType w:val="multilevel"/>
    <w:tmpl w:val="59768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1D075A"/>
    <w:multiLevelType w:val="multilevel"/>
    <w:tmpl w:val="50949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E11FA"/>
    <w:multiLevelType w:val="multilevel"/>
    <w:tmpl w:val="C5D4E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A541F1"/>
    <w:multiLevelType w:val="multilevel"/>
    <w:tmpl w:val="E924A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90E75"/>
    <w:multiLevelType w:val="multilevel"/>
    <w:tmpl w:val="B1AEE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A426EC"/>
    <w:multiLevelType w:val="multilevel"/>
    <w:tmpl w:val="D99E4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E4461F"/>
    <w:multiLevelType w:val="multilevel"/>
    <w:tmpl w:val="BF8CD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FD5B66"/>
    <w:multiLevelType w:val="multilevel"/>
    <w:tmpl w:val="33CC7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906AF3"/>
    <w:multiLevelType w:val="multilevel"/>
    <w:tmpl w:val="996E7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5265D6"/>
    <w:multiLevelType w:val="multilevel"/>
    <w:tmpl w:val="FC4C8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5C65D0"/>
    <w:multiLevelType w:val="multilevel"/>
    <w:tmpl w:val="349EF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DE02278"/>
    <w:multiLevelType w:val="multilevel"/>
    <w:tmpl w:val="01884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B368B6"/>
    <w:multiLevelType w:val="multilevel"/>
    <w:tmpl w:val="DBAAB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2C69C7"/>
    <w:multiLevelType w:val="multilevel"/>
    <w:tmpl w:val="6540D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346B09"/>
    <w:multiLevelType w:val="multilevel"/>
    <w:tmpl w:val="1DBC1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225CA0"/>
    <w:multiLevelType w:val="multilevel"/>
    <w:tmpl w:val="591AA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E00D49"/>
    <w:multiLevelType w:val="multilevel"/>
    <w:tmpl w:val="B6C64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2B2B01"/>
    <w:multiLevelType w:val="hybridMultilevel"/>
    <w:tmpl w:val="08527D26"/>
    <w:lvl w:ilvl="0" w:tplc="8482F2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6E3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00D88"/>
    <w:multiLevelType w:val="hybridMultilevel"/>
    <w:tmpl w:val="9F14568C"/>
    <w:lvl w:ilvl="0" w:tplc="8482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54B1"/>
    <w:multiLevelType w:val="multilevel"/>
    <w:tmpl w:val="C3BCA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131B67"/>
    <w:multiLevelType w:val="multilevel"/>
    <w:tmpl w:val="CB24D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DF2257"/>
    <w:multiLevelType w:val="multilevel"/>
    <w:tmpl w:val="3C04B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D65202"/>
    <w:multiLevelType w:val="multilevel"/>
    <w:tmpl w:val="6D220E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A5B560A"/>
    <w:multiLevelType w:val="multilevel"/>
    <w:tmpl w:val="E9BA3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D03110"/>
    <w:multiLevelType w:val="hybridMultilevel"/>
    <w:tmpl w:val="EAAC7E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03DE4"/>
    <w:multiLevelType w:val="multilevel"/>
    <w:tmpl w:val="4E4E7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3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9"/>
  </w:num>
  <w:num w:numId="11">
    <w:abstractNumId w:val="25"/>
  </w:num>
  <w:num w:numId="12">
    <w:abstractNumId w:val="15"/>
  </w:num>
  <w:num w:numId="13">
    <w:abstractNumId w:val="4"/>
  </w:num>
  <w:num w:numId="14">
    <w:abstractNumId w:val="21"/>
  </w:num>
  <w:num w:numId="15">
    <w:abstractNumId w:val="6"/>
  </w:num>
  <w:num w:numId="16">
    <w:abstractNumId w:val="11"/>
  </w:num>
  <w:num w:numId="17">
    <w:abstractNumId w:val="5"/>
  </w:num>
  <w:num w:numId="18">
    <w:abstractNumId w:val="12"/>
  </w:num>
  <w:num w:numId="19">
    <w:abstractNumId w:val="26"/>
  </w:num>
  <w:num w:numId="20">
    <w:abstractNumId w:val="24"/>
  </w:num>
  <w:num w:numId="21">
    <w:abstractNumId w:val="22"/>
  </w:num>
  <w:num w:numId="22">
    <w:abstractNumId w:val="16"/>
  </w:num>
  <w:num w:numId="23">
    <w:abstractNumId w:val="2"/>
  </w:num>
  <w:num w:numId="24">
    <w:abstractNumId w:val="23"/>
  </w:num>
  <w:num w:numId="25">
    <w:abstractNumId w:val="9"/>
  </w:num>
  <w:num w:numId="26">
    <w:abstractNumId w:val="1"/>
  </w:num>
  <w:num w:numId="27">
    <w:abstractNumId w:val="20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0C"/>
    <w:rsid w:val="0000218B"/>
    <w:rsid w:val="000061D9"/>
    <w:rsid w:val="000737E6"/>
    <w:rsid w:val="00097458"/>
    <w:rsid w:val="000A1D0E"/>
    <w:rsid w:val="001160D7"/>
    <w:rsid w:val="00143CCD"/>
    <w:rsid w:val="00166C0C"/>
    <w:rsid w:val="001E245B"/>
    <w:rsid w:val="001E7924"/>
    <w:rsid w:val="002355B7"/>
    <w:rsid w:val="00252484"/>
    <w:rsid w:val="002F3613"/>
    <w:rsid w:val="00331691"/>
    <w:rsid w:val="00336510"/>
    <w:rsid w:val="00383229"/>
    <w:rsid w:val="00397A1B"/>
    <w:rsid w:val="003C6107"/>
    <w:rsid w:val="00445944"/>
    <w:rsid w:val="005252CB"/>
    <w:rsid w:val="00647C23"/>
    <w:rsid w:val="00666C0A"/>
    <w:rsid w:val="00684679"/>
    <w:rsid w:val="006B2BCE"/>
    <w:rsid w:val="0075346C"/>
    <w:rsid w:val="007D14BA"/>
    <w:rsid w:val="007E76FB"/>
    <w:rsid w:val="00802309"/>
    <w:rsid w:val="00813839"/>
    <w:rsid w:val="008A2F4E"/>
    <w:rsid w:val="008B7FCB"/>
    <w:rsid w:val="008D2417"/>
    <w:rsid w:val="0092362C"/>
    <w:rsid w:val="00942293"/>
    <w:rsid w:val="009B570D"/>
    <w:rsid w:val="009C4862"/>
    <w:rsid w:val="00A0048B"/>
    <w:rsid w:val="00A765C1"/>
    <w:rsid w:val="00A8159C"/>
    <w:rsid w:val="00B05CAB"/>
    <w:rsid w:val="00B54E5B"/>
    <w:rsid w:val="00CA1E95"/>
    <w:rsid w:val="00D03DD6"/>
    <w:rsid w:val="00D17166"/>
    <w:rsid w:val="00DB0036"/>
    <w:rsid w:val="00DB5673"/>
    <w:rsid w:val="00DD0570"/>
    <w:rsid w:val="00E42745"/>
    <w:rsid w:val="00E71C00"/>
    <w:rsid w:val="00E72EA4"/>
    <w:rsid w:val="00EC0383"/>
    <w:rsid w:val="00EC0E39"/>
    <w:rsid w:val="00EF3EBB"/>
    <w:rsid w:val="00EF465E"/>
    <w:rsid w:val="00F4116F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FB0D8"/>
  <w15:docId w15:val="{5CB75CAB-F2FF-425D-9598-A4E72DC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F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4E"/>
  </w:style>
  <w:style w:type="paragraph" w:styleId="Footer">
    <w:name w:val="footer"/>
    <w:basedOn w:val="Normal"/>
    <w:link w:val="FooterChar"/>
    <w:uiPriority w:val="99"/>
    <w:unhideWhenUsed/>
    <w:rsid w:val="008A2F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4E"/>
  </w:style>
  <w:style w:type="table" w:styleId="GridTable1Light-Accent6">
    <w:name w:val="Grid Table 1 Light Accent 6"/>
    <w:basedOn w:val="TableNormal"/>
    <w:uiPriority w:val="46"/>
    <w:rsid w:val="00F72FA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72F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F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FA1"/>
    <w:pPr>
      <w:ind w:left="720"/>
      <w:contextualSpacing/>
    </w:pPr>
  </w:style>
  <w:style w:type="character" w:customStyle="1" w:styleId="LinkChar">
    <w:name w:val="Link Char"/>
    <w:basedOn w:val="DefaultParagraphFont"/>
    <w:link w:val="Link"/>
    <w:rsid w:val="008B7FCB"/>
    <w:rPr>
      <w:rFonts w:eastAsia="Gotham" w:cs="Gotham"/>
      <w:b/>
      <w:color w:val="F36E37"/>
      <w:sz w:val="18"/>
      <w:szCs w:val="17"/>
      <w:lang w:val="en-US"/>
    </w:rPr>
  </w:style>
  <w:style w:type="paragraph" w:customStyle="1" w:styleId="Link">
    <w:name w:val="Link"/>
    <w:basedOn w:val="BodyText"/>
    <w:link w:val="LinkChar"/>
    <w:qFormat/>
    <w:rsid w:val="008B7FCB"/>
    <w:pPr>
      <w:widowControl w:val="0"/>
      <w:autoSpaceDE w:val="0"/>
      <w:autoSpaceDN w:val="0"/>
      <w:spacing w:after="0"/>
    </w:pPr>
    <w:rPr>
      <w:rFonts w:eastAsia="Gotham" w:cs="Gotham"/>
      <w:b/>
      <w:color w:val="F36E37"/>
      <w:sz w:val="18"/>
      <w:szCs w:val="17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tedinschools.org.nz/teachers/curriculum-info/pedagogical-desig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rtedinschools.org.nz/sorted-resources/financial-sustainability/" TargetMode="External"/><Relationship Id="rId12" Type="http://schemas.openxmlformats.org/officeDocument/2006/relationships/hyperlink" Target="http://sortedinschools.org.nz/sorted-resources/financial-sustainability/maths-assessmen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Tista Lythe</dc:creator>
  <cp:lastModifiedBy>Su Min Ahn</cp:lastModifiedBy>
  <cp:revision>16</cp:revision>
  <dcterms:created xsi:type="dcterms:W3CDTF">2021-09-01T02:46:00Z</dcterms:created>
  <dcterms:modified xsi:type="dcterms:W3CDTF">2021-09-01T03:36:00Z</dcterms:modified>
</cp:coreProperties>
</file>